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Қазақстан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instrText xml:space="preserve"> HYPERLINK "https://g.engime.org/euraziyali-ekonomikali-oda-sheberinde-derilik-zattar-ajnalisin.html" </w:instrTex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Парламенті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Мәжілісінің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«Парламент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сөзі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сыйлығын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kk-KZ" w:eastAsia="ru-RU"/>
        </w:rPr>
        <w:t>ж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урналистерге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тәртібі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ереже</w:t>
      </w:r>
      <w:proofErr w:type="spellEnd"/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ережелер</w:t>
      </w:r>
      <w:proofErr w:type="spellEnd"/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Осы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Ереже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журналистерге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Қазақстан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Парламенті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Мәжілісінің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«Парламент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сөзі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сыйлығын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бұдан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әрі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) беру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тәртібін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журналистерге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Қазақстан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Парламенті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Мәжілісінің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сыйлығын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жөніндегі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комиссияның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бұдан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әрі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комиссия)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қызметін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тәртібін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айқындайды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жыл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сайын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Байланыс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ақпарат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қызметкерлерінің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күніне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 xml:space="preserve"> HYPERLINK "https://g.engime.org/fizika-peni-bojinsha-7-sinipa-arnalfan-emtihan-biletteri-1-bil-v2.html" </w:instrTex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қарай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журналистерге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ұжымдарға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олардың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өткен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кезеңдегі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қорытындылары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Мәжілістің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қызметін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үздік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жазып-көрсеткені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беріледі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Мәжілістің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қызметін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баспасөз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БАҚ-та,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радиода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кәсіби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деңгейде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жазып-көрсеткені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Мәжіліс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қызметі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үздік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бейне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фотоматериалдар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арламент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тақырыбын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жазып-көрсетудегі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инновациялық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тәсілі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парламенттік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журналистиканы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дамытуға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қосқан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елеулі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үлесі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беріледі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құрамын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Қазақстан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Парламенті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Мәжілісінің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Бюросы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бекітетін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комиссия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береді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Комиссия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қажеттілігіне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қарай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отырыс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өткізеді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 </w:t>
      </w:r>
      <w:hyperlink r:id="rId4" w:history="1">
        <w:r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Комиссия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отырысы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комиссия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мүшелерінің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санының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кемінде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жартысы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қатысса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заңды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есептеледі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Комиссияның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шешімі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ашық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дауыс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қабылданады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дауыс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дауыстардың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көпшілігін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қабылданған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есептеледі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Комиссияның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отырысы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хаттамаға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түсіріледі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 Комиссия: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 xml:space="preserve"> HYPERLINK "https://g.engime.org/barali-aparat-raldari-turali-azastan-respublikasini-zai-1999-j.html" </w:instrTex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бұқаралық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ақпарат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құралдары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ішінде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ресурстар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жарияланатын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таратылатын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Парламенттің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қызметіне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баспасөз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аудио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өзге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хабарлар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материалдарды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тұрақты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негізде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талдауды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асырады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сыйлықпен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марапаттау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үміткерлерді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іріктеуді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асырады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қызметін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ұйымдастырудың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өзге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мәселелерін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шешеді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Мәжілістің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Баспасөз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қызметі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комиссияның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органы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Сыйлықтарды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5" w:history="1">
        <w:r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беру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туралы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 xml:space="preserve"> ақпарат</w:t>
        </w:r>
      </w:hyperlink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марапатталған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журналистердің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тізімі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бұқаралық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ақпарат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құралдарында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Парламенттің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ресурсында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орналастырылады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>
      <w:pPr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Номинациялау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сыйлық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тәртібі</w:t>
      </w:r>
      <w:proofErr w:type="spellEnd"/>
    </w:p>
    <w:p>
      <w:pPr>
        <w:spacing w:after="0" w:line="240" w:lineRule="auto"/>
        <w:ind w:left="-284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Бұқаралық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ақпарат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құралдары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басшыларының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одақтардың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бірлестіктердің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сондай-ақ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журналистердің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өзін-өзі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сыйлыққа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ұсыну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ға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құқығы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бар.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алуға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кандидаттардың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құжаттары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берілетін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жылдың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маусымына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дейін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органының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атына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жіберіледі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қабылдау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мерзімі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өткеннен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кейін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келіп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түскен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құжаттар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қаралмайды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алуға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жіберілетін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құжаттар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мыналарды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қамтиды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бұқаралық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ақпарат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құралының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шығармашылық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одақтың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бірлестіктің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 xml:space="preserve"> HYPERLINK "https://g.engime.org/fedorov-audani-ekimini-resmi-portalini-biznesti-orfau-bolimine.html" </w:instrTex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бланкісіндегі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басшы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алмастыратын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қол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қойған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ілеспе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хат,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өзін-өзі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ұсынған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жағдайда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сыйлыққа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үміткердің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өзі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қол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қойған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ілеспе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хат;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сыйлыққа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үміткер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қысқаша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ақпарат (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Т.А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Ә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лауазымы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proofErr w:type="spellStart"/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"https://g.engime.org/izilorda-alasi-ekimini-apparati-memlekettik-mekemesi-120000-iz.html"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байланыс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телефондары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пошталық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мекенжайы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поштасы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);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жарияланған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эфирге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шыққан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күні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көрсетілген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жарияланымдардың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мәтіндері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аудио,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бейне-фотоматериалдар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форматта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орналастырылған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материалдарға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жарамды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сілтемелер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Баспасөз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басылымдары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мен интернет-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басылымдарда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жарияланған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сондай-ақ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теле-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 xml:space="preserve"> HYPERLINK "https://g.engime.org/filologiya-fakuletetini-dekani-v2.html" </w:instrTex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радоэфирге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шығарылған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арламент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тақырыбына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келмейтін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материалдар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тиісті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kk-KZ" w:eastAsia="ru-RU"/>
        </w:rPr>
        <w:t>құжат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қарастырылмайды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11. Комиссия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сыйлыққа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номинацияланатын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жұмыстарды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бағалау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кезінде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тақырыптың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жазылып-көрсетілу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тереңдігін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материалды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берудегі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кәсіби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шеберлік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объективтілікті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көркемдік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ерекшеліктерін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бағалайды.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Құжаттарды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қабылдаудың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басталғаны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хабарлама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алуға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кандидаттардың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қажетті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құжаттарының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тізбесі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Қазақстан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Парламенті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Мәжілісінің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www.parlam.kz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ресурсында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орналастырылады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Комиссияның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органы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сыйлық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алуға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кандидаттардың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құжаттарын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қабылдаудың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басталғаны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ақпараттың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БАҚ-та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жариялануын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етеді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ұсынылған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құжаттарды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Ережеде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белгіленген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талаптарға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сәйкестігі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instrText xml:space="preserve"> HYPERLINK "https://g.engime.org/saba-tairibi-oushilardi-sin-trfisinan-ojlaufa-jretu-jalpi-masa.html" </w:instrTex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тұрғысынан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тексереді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келіп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түскен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жұмыстарға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жүргізеді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оларды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комиссияның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отырысына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шығарады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sectPr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162F-CEA0-4164-96E5-03FBB8B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.engime.org/sabati-tairibi-aparat-sabati-masati.html" TargetMode="External"/><Relationship Id="rId4" Type="http://schemas.openxmlformats.org/officeDocument/2006/relationships/hyperlink" Target="https://g.engime.org/pedagogikali-keesti-otirisi-1-29-tamiz-2011ji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Башеева Эльмира</dc:creator>
  <cp:keywords/>
  <dc:description/>
  <cp:lastModifiedBy>Бапакова Сауле</cp:lastModifiedBy>
  <cp:revision>26</cp:revision>
  <cp:lastPrinted>2023-05-26T10:12:00Z</cp:lastPrinted>
  <dcterms:created xsi:type="dcterms:W3CDTF">2021-05-17T06:40:00Z</dcterms:created>
  <dcterms:modified xsi:type="dcterms:W3CDTF">2023-05-26T10:14:00Z</dcterms:modified>
</cp:coreProperties>
</file>