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A3" w:rsidRPr="00161D95" w:rsidRDefault="00704E45" w:rsidP="00124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67D">
        <w:rPr>
          <w:rFonts w:ascii="Times New Roman" w:hAnsi="Times New Roman" w:cs="Times New Roman"/>
          <w:sz w:val="32"/>
          <w:szCs w:val="32"/>
          <w:lang w:val="kk-KZ"/>
        </w:rPr>
        <w:t>ҚАЗАҚ ТІЛІ ҒЫЛЫМҒА АРҚАУ БОЛА ОТЫРЫП ҚУ</w:t>
      </w:r>
      <w:r>
        <w:rPr>
          <w:rFonts w:ascii="Times New Roman" w:hAnsi="Times New Roman" w:cs="Times New Roman"/>
          <w:sz w:val="32"/>
          <w:szCs w:val="32"/>
          <w:lang w:val="kk-KZ"/>
        </w:rPr>
        <w:t>АТТЫ ҒЫЛЫМ ТІЛІНЕ АЙНАЛУЫ ҚАЖЕТ</w:t>
      </w:r>
    </w:p>
    <w:p w:rsidR="00177CA3" w:rsidRDefault="00177CA3" w:rsidP="00124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1556" w:rsidRDefault="00D71556" w:rsidP="00D71556">
      <w:pPr>
        <w:ind w:firstLine="540"/>
        <w:jc w:val="right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Астана, 19 қазан, Мәжіліс Үйі.</w:t>
      </w:r>
    </w:p>
    <w:p w:rsidR="00D71556" w:rsidRDefault="00D71556" w:rsidP="00D71556">
      <w:pPr>
        <w:ind w:firstLine="54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Мәжілісте Палата Спикері Нұрлан Нығматулиннің төрағалығымен өткен жалпы отырыста депутат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Шаймардан Нұрымов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Қазақстан Республикасы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Білім және ғылым министрі Ерлан Сағадиевке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депутаттық сауал жолдады.</w:t>
      </w:r>
    </w:p>
    <w:p w:rsidR="00C81972" w:rsidRPr="002E167D" w:rsidRDefault="002E167D" w:rsidP="00124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E167D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AB4C99" w:rsidRPr="002E167D">
        <w:rPr>
          <w:rFonts w:ascii="Times New Roman" w:hAnsi="Times New Roman" w:cs="Times New Roman"/>
          <w:sz w:val="32"/>
          <w:szCs w:val="32"/>
          <w:lang w:val="kk-KZ"/>
        </w:rPr>
        <w:t>Биылғы жыл еліміз тарихындағы айтулы жылдардың бірі болып табылады. Халқымыз ата-бабаларымыздың ғасырлар бойы армандаған, аңсаған күнге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AB4C99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Тәуелсіздік күніне қол жеткізгенімізге 25 жыл толғалы отыр. Осы жиырма бес жылда жеткен жетістіктеріміз аз емес. Мемлекетіміз аяғына тұрып, іргесі бекіп, әлем халықтарымен терезесі тең мемлекетке айналды. </w:t>
      </w:r>
      <w:r w:rsidR="000640DD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Еліміздің Президенті-Елбасы Нұрсұлтан Әбішұлы </w:t>
      </w:r>
      <w:r>
        <w:rPr>
          <w:rFonts w:ascii="Times New Roman" w:hAnsi="Times New Roman" w:cs="Times New Roman"/>
          <w:sz w:val="32"/>
          <w:szCs w:val="32"/>
          <w:lang w:val="kk-KZ"/>
        </w:rPr>
        <w:t>Назарбаевтың басшылығы мен салиқ</w:t>
      </w:r>
      <w:r w:rsidR="000640DD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алы саясатының нәтижесінде </w:t>
      </w:r>
      <w:r w:rsidR="00F04A3B" w:rsidRPr="002E167D">
        <w:rPr>
          <w:rFonts w:ascii="Times New Roman" w:hAnsi="Times New Roman" w:cs="Times New Roman"/>
          <w:sz w:val="32"/>
          <w:szCs w:val="32"/>
          <w:lang w:val="kk-KZ"/>
        </w:rPr>
        <w:t>осы жетістіктерге жеткеніміз баршаға мәлім. Ана тіліміз-қазақ тілінің мәртебесі а</w:t>
      </w:r>
      <w:r w:rsidR="008659F4" w:rsidRPr="002E167D">
        <w:rPr>
          <w:rFonts w:ascii="Times New Roman" w:hAnsi="Times New Roman" w:cs="Times New Roman"/>
          <w:sz w:val="32"/>
          <w:szCs w:val="32"/>
          <w:lang w:val="kk-KZ"/>
        </w:rPr>
        <w:t>йшықталып, өз тұғырына көтеріліп,</w:t>
      </w:r>
      <w:r w:rsidR="00F04A3B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тілге айналды. Дей тұрғанмен қазақ тілінің мәртебесін арттыру мен әлеуетін күшейте түсу</w:t>
      </w:r>
      <w:r w:rsidR="005622A6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қажеттілігі</w:t>
      </w:r>
      <w:r w:rsidR="00D41D0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әлі де қыруар шаруалар</w:t>
      </w:r>
      <w:r w:rsidR="00F04A3B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атқаруды талап етеді.</w:t>
      </w:r>
      <w:r w:rsidR="00C81972" w:rsidRPr="002E167D">
        <w:rPr>
          <w:rFonts w:ascii="Times New Roman" w:hAnsi="Times New Roman" w:cs="Times New Roman"/>
          <w:b/>
          <w:sz w:val="32"/>
          <w:szCs w:val="32"/>
          <w:lang w:val="kk-KZ"/>
        </w:rPr>
        <w:t> </w:t>
      </w:r>
      <w:r w:rsidR="005622A6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Соның бірі қазақ тілінің ғылым саласындағы өзіндік орны. </w:t>
      </w:r>
      <w:r w:rsidR="0004391D" w:rsidRPr="002E167D">
        <w:rPr>
          <w:rFonts w:ascii="Times New Roman" w:hAnsi="Times New Roman" w:cs="Times New Roman"/>
          <w:sz w:val="32"/>
          <w:szCs w:val="32"/>
          <w:lang w:val="kk-KZ"/>
        </w:rPr>
        <w:t>Кез</w:t>
      </w:r>
      <w:r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04391D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келген тіл әлеуеті зор, қуатты тілге айналуы үшін ол ғылым тілі бола алуы керек. </w:t>
      </w:r>
    </w:p>
    <w:p w:rsidR="00124021" w:rsidRPr="002E167D" w:rsidRDefault="009E1E55" w:rsidP="00124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E167D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C81972" w:rsidRPr="002E167D">
        <w:rPr>
          <w:rFonts w:ascii="Times New Roman" w:hAnsi="Times New Roman" w:cs="Times New Roman"/>
          <w:sz w:val="32"/>
          <w:szCs w:val="32"/>
          <w:lang w:val="kk-KZ"/>
        </w:rPr>
        <w:t>Тіл адам баласының негізгі қасиеті болғандықтан - тіл байлығы елдің елдігін, жұртшылығын, ғылыми-әдебиетін, өнеркәсібін, мәдениетін, қоғам-құрылыстары мен салт-санасының, жауынгерлік дәстүрінің - мұрасының қай дәрежеде екенін көрсететін сөзсіз дәлелді мөлшері</w:t>
      </w:r>
      <w:r w:rsidRPr="002E167D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C81972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, - деп батыр бабамыз Бауыржан Момышұлы айтқан екен. Сондықтан да әдеби бай тіліміз - қазақ тілі ғылымға арқау бола отырып қуатты ғылым тіліне айналуы қажет. </w:t>
      </w:r>
      <w:r w:rsidR="0004391D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Бірақ бұл үрдіс </w:t>
      </w:r>
      <w:r w:rsidR="00DB4B1E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елімізде </w:t>
      </w:r>
      <w:r w:rsidR="002E167D">
        <w:rPr>
          <w:rFonts w:ascii="Times New Roman" w:hAnsi="Times New Roman" w:cs="Times New Roman"/>
          <w:sz w:val="32"/>
          <w:szCs w:val="32"/>
          <w:lang w:val="kk-KZ"/>
        </w:rPr>
        <w:t>белгілі бір дә</w:t>
      </w:r>
      <w:r w:rsidR="0004391D" w:rsidRPr="002E167D">
        <w:rPr>
          <w:rFonts w:ascii="Times New Roman" w:hAnsi="Times New Roman" w:cs="Times New Roman"/>
          <w:sz w:val="32"/>
          <w:szCs w:val="32"/>
          <w:lang w:val="kk-KZ"/>
        </w:rPr>
        <w:t>режеде баяу жүруде.</w:t>
      </w:r>
      <w:r w:rsidR="00DB4B1E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Жоғары оқу орындарында шәкірттердің </w:t>
      </w:r>
      <w:r w:rsidR="00450FCF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қазақ тілінде </w:t>
      </w:r>
      <w:r w:rsidR="00DB4B1E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тиісті пәндер бойынша қолданатын оқу-әдістемелік құралдары, әдеби кітаптары мен ғылыми еңбектері </w:t>
      </w:r>
      <w:r w:rsidR="00450FCF" w:rsidRPr="002E167D">
        <w:rPr>
          <w:rFonts w:ascii="Times New Roman" w:hAnsi="Times New Roman" w:cs="Times New Roman"/>
          <w:sz w:val="32"/>
          <w:szCs w:val="32"/>
          <w:lang w:val="kk-KZ"/>
        </w:rPr>
        <w:t>жетіспейді</w:t>
      </w:r>
      <w:r w:rsidR="00DB4B1E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D41D0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Бұл жағдайда елімізде білім-ғылым саласында қазақ тілінде кітаптардың жазылуы, ғылыми еңбектердің қазақ тілінде </w:t>
      </w:r>
      <w:r w:rsidR="003B0CAE" w:rsidRPr="002E167D">
        <w:rPr>
          <w:rFonts w:ascii="Times New Roman" w:hAnsi="Times New Roman" w:cs="Times New Roman"/>
          <w:sz w:val="32"/>
          <w:szCs w:val="32"/>
          <w:lang w:val="kk-KZ"/>
        </w:rPr>
        <w:t>дайындалуы</w:t>
      </w:r>
      <w:r w:rsidR="00D41D0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немесе олардың сапалы аударылуы сынды талаптар мен о</w:t>
      </w:r>
      <w:r w:rsidR="00C81972" w:rsidRPr="002E167D">
        <w:rPr>
          <w:rFonts w:ascii="Times New Roman" w:hAnsi="Times New Roman" w:cs="Times New Roman"/>
          <w:sz w:val="32"/>
          <w:szCs w:val="32"/>
          <w:lang w:val="kk-KZ"/>
        </w:rPr>
        <w:t>сыған бағытталған ынталандыру шараларын қолға алу</w:t>
      </w:r>
      <w:r w:rsidR="00D41D0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қажет.</w:t>
      </w:r>
      <w:r w:rsidR="00124021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E167D">
        <w:rPr>
          <w:rFonts w:ascii="Times New Roman" w:hAnsi="Times New Roman" w:cs="Times New Roman"/>
          <w:sz w:val="32"/>
          <w:szCs w:val="32"/>
          <w:lang w:val="kk-KZ"/>
        </w:rPr>
        <w:t>Шетелдер</w:t>
      </w:r>
      <w:r w:rsidR="00CF1981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ғалымдарының ғылыми кітаптарын, сонымен </w:t>
      </w:r>
      <w:r w:rsidR="00CF1981" w:rsidRPr="002E167D">
        <w:rPr>
          <w:rFonts w:ascii="Times New Roman" w:hAnsi="Times New Roman" w:cs="Times New Roman"/>
          <w:sz w:val="32"/>
          <w:szCs w:val="32"/>
          <w:lang w:val="kk-KZ"/>
        </w:rPr>
        <w:lastRenderedPageBreak/>
        <w:t>қатар бұған дейін Қазақстанда шыққан ғылыми кітаптарды, диссертацияларды қазақ тіліне аударуды</w:t>
      </w:r>
      <w:r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қамтамасыз ету керек.</w:t>
      </w:r>
    </w:p>
    <w:p w:rsidR="00043812" w:rsidRDefault="00C81972" w:rsidP="002E16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Осы мәселенің аясында айтар </w:t>
      </w:r>
      <w:r w:rsidR="00124021" w:rsidRPr="002E167D">
        <w:rPr>
          <w:rFonts w:ascii="Times New Roman" w:hAnsi="Times New Roman" w:cs="Times New Roman"/>
          <w:sz w:val="32"/>
          <w:szCs w:val="32"/>
          <w:lang w:val="kk-KZ"/>
        </w:rPr>
        <w:t>бір ұсыныс ол «Болашақ» бағдарламасы бойынша шетелдерде оқып келген</w:t>
      </w:r>
      <w:r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және оқып жатқан</w:t>
      </w:r>
      <w:r w:rsidR="00124021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түлектерге қатысты. Қазіргі таңда еліміздің </w:t>
      </w:r>
      <w:r w:rsidR="003B0CAE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мыңдаған </w:t>
      </w:r>
      <w:r w:rsidR="00124021" w:rsidRPr="002E167D">
        <w:rPr>
          <w:rFonts w:ascii="Times New Roman" w:hAnsi="Times New Roman" w:cs="Times New Roman"/>
          <w:sz w:val="32"/>
          <w:szCs w:val="32"/>
          <w:lang w:val="kk-KZ"/>
        </w:rPr>
        <w:t>азаматтары шетелдердің әлем бойынша алдыңғы қатарындағы оқу орындарында білім алып</w:t>
      </w:r>
      <w:r w:rsidR="00B037FC" w:rsidRPr="002E167D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124021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елге оралуда. </w:t>
      </w:r>
      <w:r w:rsidR="003B0CAE" w:rsidRPr="002E167D">
        <w:rPr>
          <w:rFonts w:ascii="Times New Roman" w:hAnsi="Times New Roman" w:cs="Times New Roman"/>
          <w:sz w:val="32"/>
          <w:szCs w:val="32"/>
          <w:lang w:val="kk-KZ"/>
        </w:rPr>
        <w:t>Мемлекет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есебінен</w:t>
      </w:r>
      <w:r w:rsidR="00B037FC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қыруар қаржы жұмсалып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дайындалған осы мамандардың, ғалымдардың алған білімі мен тәжірибесінің, ғылыми еңбектерінің игілігін халқымыз көру керек. Ол үшін «Болашақ</w:t>
      </w:r>
      <w:r w:rsidR="00B037FC" w:rsidRPr="002E167D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түлектерінен олардың дайындаған ғылыми жұмыстарын (магистрлік және докторлық диссертациялары)</w:t>
      </w:r>
      <w:r w:rsidR="00B037FC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тілге аударуын талап етіп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, оны еліміздің </w:t>
      </w:r>
      <w:r w:rsidR="003E526E" w:rsidRPr="002E167D">
        <w:rPr>
          <w:rFonts w:ascii="Times New Roman" w:hAnsi="Times New Roman" w:cs="Times New Roman"/>
          <w:sz w:val="32"/>
          <w:szCs w:val="32"/>
          <w:lang w:val="kk-KZ"/>
        </w:rPr>
        <w:t>жоғары оқу орындары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мен кітапханалар</w:t>
      </w:r>
      <w:r w:rsidR="003E526E" w:rsidRPr="002E167D">
        <w:rPr>
          <w:rFonts w:ascii="Times New Roman" w:hAnsi="Times New Roman" w:cs="Times New Roman"/>
          <w:sz w:val="32"/>
          <w:szCs w:val="32"/>
          <w:lang w:val="kk-KZ"/>
        </w:rPr>
        <w:t>ға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таратылуын қамтамасыз ету қажет.</w:t>
      </w:r>
      <w:r w:rsidR="00BC6333" w:rsidRPr="002E167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>Бұл отандық оқу орындарындағы студенттердің біліміне қолдау болары сөзсіз.</w:t>
      </w:r>
      <w:r w:rsidR="00B037FC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Қазақ тіліндегі ғылыми әде</w:t>
      </w:r>
      <w:r w:rsidR="002E167D">
        <w:rPr>
          <w:rFonts w:ascii="Times New Roman" w:hAnsi="Times New Roman" w:cs="Times New Roman"/>
          <w:sz w:val="32"/>
          <w:szCs w:val="32"/>
          <w:lang w:val="kk-KZ"/>
        </w:rPr>
        <w:t>биеттермен елдегі кітап қоры байый</w:t>
      </w:r>
      <w:r w:rsidR="00B037FC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түсер еді.</w:t>
      </w:r>
      <w:r w:rsidR="000504A5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Оқу орындарындағы ұстаздардың да қажеттіне жарар ақпараттық материалдармен толығар еді. 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Сондай-ақ «болашақтықтардың</w:t>
      </w:r>
      <w:r w:rsidR="00B037FC" w:rsidRPr="002E167D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қаншалықты дәрежеде білім алып, ел сенімін ақтағандықтарын </w:t>
      </w:r>
      <w:r w:rsidR="00B037FC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халықтың 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>бағалау</w:t>
      </w:r>
      <w:r w:rsidR="00B037FC" w:rsidRPr="002E167D">
        <w:rPr>
          <w:rFonts w:ascii="Times New Roman" w:hAnsi="Times New Roman" w:cs="Times New Roman"/>
          <w:sz w:val="32"/>
          <w:szCs w:val="32"/>
          <w:lang w:val="kk-KZ"/>
        </w:rPr>
        <w:t>ына</w:t>
      </w:r>
      <w:r w:rsidR="00BC6333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мүмкіндік берер еді.</w:t>
      </w:r>
      <w:r w:rsidR="00CF1981" w:rsidRPr="002E167D">
        <w:rPr>
          <w:rFonts w:ascii="Times New Roman" w:hAnsi="Times New Roman" w:cs="Times New Roman"/>
          <w:sz w:val="32"/>
          <w:szCs w:val="32"/>
          <w:lang w:val="kk-KZ"/>
        </w:rPr>
        <w:t xml:space="preserve"> Бұл үшін олардың мемлекеттік тілді жетік меңгергені қажет. Сондықтан бұл талапты да үміткерлер үшін күшейту керек. </w:t>
      </w:r>
    </w:p>
    <w:p w:rsidR="004E06A2" w:rsidRDefault="004E06A2" w:rsidP="004E06A2">
      <w:pPr>
        <w:jc w:val="both"/>
        <w:rPr>
          <w:b/>
          <w:bCs/>
          <w:color w:val="000000"/>
          <w:lang w:val="kk-KZ"/>
        </w:rPr>
      </w:pPr>
    </w:p>
    <w:p w:rsidR="004E06A2" w:rsidRPr="004E06A2" w:rsidRDefault="004E06A2" w:rsidP="004E06A2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bookmarkStart w:id="0" w:name="_GoBack"/>
      <w:bookmarkEnd w:id="0"/>
      <w:r w:rsidRPr="004E06A2">
        <w:rPr>
          <w:rFonts w:ascii="Times New Roman" w:hAnsi="Times New Roman" w:cs="Times New Roman"/>
          <w:b/>
          <w:bCs/>
          <w:color w:val="000000"/>
          <w:lang w:val="kk-KZ"/>
        </w:rPr>
        <w:t xml:space="preserve">(Сәуле Досжанова. Т.74-63-01. </w:t>
      </w:r>
      <w:r w:rsidRPr="004E06A2">
        <w:rPr>
          <w:rFonts w:ascii="Times New Roman" w:hAnsi="Times New Roman" w:cs="Times New Roman"/>
          <w:b/>
          <w:lang w:val="kk-KZ"/>
        </w:rPr>
        <w:t xml:space="preserve">Ақпаратты ҚР Парламенті Мәжілісі Аппаратының </w:t>
      </w:r>
      <w:r w:rsidRPr="004E06A2">
        <w:rPr>
          <w:rFonts w:ascii="Times New Roman" w:hAnsi="Times New Roman" w:cs="Times New Roman"/>
          <w:b/>
          <w:bCs/>
          <w:color w:val="000000"/>
          <w:lang w:val="kk-KZ"/>
        </w:rPr>
        <w:t> Баспасөз қызметі таратты.)</w:t>
      </w:r>
    </w:p>
    <w:p w:rsidR="004E06A2" w:rsidRPr="002E167D" w:rsidRDefault="004E06A2" w:rsidP="002E16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pPr w:leftFromText="180" w:rightFromText="180" w:vertAnchor="text" w:horzAnchor="margin" w:tblpXSpec="center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770"/>
        <w:gridCol w:w="2080"/>
        <w:gridCol w:w="2183"/>
      </w:tblGrid>
      <w:tr w:rsidR="00043812" w:rsidRPr="004E06A2" w:rsidTr="004E06A2">
        <w:trPr>
          <w:trHeight w:val="570"/>
        </w:trPr>
        <w:tc>
          <w:tcPr>
            <w:tcW w:w="284" w:type="dxa"/>
          </w:tcPr>
          <w:p w:rsidR="00043812" w:rsidRPr="009418E6" w:rsidRDefault="00043812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70" w:type="dxa"/>
          </w:tcPr>
          <w:p w:rsidR="00043812" w:rsidRDefault="00043812" w:rsidP="005E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0" w:type="dxa"/>
          </w:tcPr>
          <w:p w:rsidR="00043812" w:rsidRPr="009418E6" w:rsidRDefault="00043812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 w:rsidR="00043812" w:rsidRPr="009418E6" w:rsidRDefault="00043812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E765A" w:rsidRPr="004E06A2" w:rsidTr="004E06A2">
        <w:trPr>
          <w:trHeight w:val="628"/>
        </w:trPr>
        <w:tc>
          <w:tcPr>
            <w:tcW w:w="284" w:type="dxa"/>
          </w:tcPr>
          <w:p w:rsidR="005E765A" w:rsidRPr="009418E6" w:rsidRDefault="005E765A" w:rsidP="004E06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70" w:type="dxa"/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0" w:type="dxa"/>
          </w:tcPr>
          <w:p w:rsidR="005E765A" w:rsidRPr="009418E6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vMerge w:val="restart"/>
            <w:tcBorders>
              <w:left w:val="nil"/>
            </w:tcBorders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E765A" w:rsidRPr="004E06A2" w:rsidTr="004E06A2">
        <w:trPr>
          <w:trHeight w:val="645"/>
        </w:trPr>
        <w:tc>
          <w:tcPr>
            <w:tcW w:w="284" w:type="dxa"/>
          </w:tcPr>
          <w:p w:rsidR="005E765A" w:rsidRPr="009418E6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70" w:type="dxa"/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0" w:type="dxa"/>
          </w:tcPr>
          <w:p w:rsidR="005E765A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vMerge/>
            <w:tcBorders>
              <w:left w:val="nil"/>
            </w:tcBorders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E765A" w:rsidRPr="004E06A2" w:rsidTr="004E06A2">
        <w:trPr>
          <w:trHeight w:val="480"/>
        </w:trPr>
        <w:tc>
          <w:tcPr>
            <w:tcW w:w="284" w:type="dxa"/>
          </w:tcPr>
          <w:p w:rsidR="005E765A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70" w:type="dxa"/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0" w:type="dxa"/>
          </w:tcPr>
          <w:p w:rsidR="005E765A" w:rsidRPr="009418E6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 w:rsidR="005E765A" w:rsidRPr="009418E6" w:rsidRDefault="005E765A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E765A" w:rsidRPr="004E06A2" w:rsidTr="004E06A2">
        <w:trPr>
          <w:trHeight w:val="495"/>
        </w:trPr>
        <w:tc>
          <w:tcPr>
            <w:tcW w:w="284" w:type="dxa"/>
          </w:tcPr>
          <w:p w:rsidR="005E765A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70" w:type="dxa"/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0" w:type="dxa"/>
          </w:tcPr>
          <w:p w:rsidR="005E765A" w:rsidRPr="009418E6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 w:rsidR="005E765A" w:rsidRPr="009418E6" w:rsidRDefault="005E765A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E765A" w:rsidRPr="004E06A2" w:rsidTr="004E06A2">
        <w:trPr>
          <w:trHeight w:val="630"/>
        </w:trPr>
        <w:tc>
          <w:tcPr>
            <w:tcW w:w="284" w:type="dxa"/>
          </w:tcPr>
          <w:p w:rsidR="005E765A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70" w:type="dxa"/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0" w:type="dxa"/>
          </w:tcPr>
          <w:p w:rsidR="005E765A" w:rsidRPr="00A859E5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E765A" w:rsidRPr="004E06A2" w:rsidTr="004E06A2">
        <w:trPr>
          <w:trHeight w:val="632"/>
        </w:trPr>
        <w:tc>
          <w:tcPr>
            <w:tcW w:w="284" w:type="dxa"/>
          </w:tcPr>
          <w:p w:rsidR="005E765A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70" w:type="dxa"/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0" w:type="dxa"/>
          </w:tcPr>
          <w:p w:rsidR="005E765A" w:rsidRPr="00A859E5" w:rsidRDefault="005E765A" w:rsidP="005E76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E765A" w:rsidRPr="004E06A2" w:rsidTr="004E06A2">
        <w:trPr>
          <w:trHeight w:val="1050"/>
        </w:trPr>
        <w:tc>
          <w:tcPr>
            <w:tcW w:w="284" w:type="dxa"/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70" w:type="dxa"/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0" w:type="dxa"/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 w:rsidR="005E765A" w:rsidRDefault="005E765A" w:rsidP="005E7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3812" w:rsidRPr="00043812" w:rsidRDefault="00043812" w:rsidP="003D1D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sectPr w:rsidR="00043812" w:rsidRPr="0004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1E"/>
    <w:rsid w:val="00043812"/>
    <w:rsid w:val="0004391D"/>
    <w:rsid w:val="000504A5"/>
    <w:rsid w:val="000640DD"/>
    <w:rsid w:val="00124021"/>
    <w:rsid w:val="00161D95"/>
    <w:rsid w:val="00177CA3"/>
    <w:rsid w:val="00291300"/>
    <w:rsid w:val="002C0AE3"/>
    <w:rsid w:val="002E167D"/>
    <w:rsid w:val="002E27E6"/>
    <w:rsid w:val="00336623"/>
    <w:rsid w:val="003B0CAE"/>
    <w:rsid w:val="003D1DC1"/>
    <w:rsid w:val="003E526E"/>
    <w:rsid w:val="00450FCF"/>
    <w:rsid w:val="004E06A2"/>
    <w:rsid w:val="00547EED"/>
    <w:rsid w:val="005622A6"/>
    <w:rsid w:val="005E765A"/>
    <w:rsid w:val="00640A48"/>
    <w:rsid w:val="00693634"/>
    <w:rsid w:val="00704E45"/>
    <w:rsid w:val="00844197"/>
    <w:rsid w:val="0084696B"/>
    <w:rsid w:val="008659F4"/>
    <w:rsid w:val="008D53C7"/>
    <w:rsid w:val="009418E6"/>
    <w:rsid w:val="0096147B"/>
    <w:rsid w:val="009E1E55"/>
    <w:rsid w:val="00A859E5"/>
    <w:rsid w:val="00AB4C99"/>
    <w:rsid w:val="00B037FC"/>
    <w:rsid w:val="00B40B9A"/>
    <w:rsid w:val="00BC6333"/>
    <w:rsid w:val="00C40E19"/>
    <w:rsid w:val="00C71705"/>
    <w:rsid w:val="00C81972"/>
    <w:rsid w:val="00CF1981"/>
    <w:rsid w:val="00D41D03"/>
    <w:rsid w:val="00D71556"/>
    <w:rsid w:val="00DB4B1E"/>
    <w:rsid w:val="00DE271E"/>
    <w:rsid w:val="00F04A3B"/>
    <w:rsid w:val="00F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C3021-DD62-496A-B381-379D32D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Kokashev</dc:creator>
  <cp:keywords/>
  <dc:description/>
  <cp:lastModifiedBy>user</cp:lastModifiedBy>
  <cp:revision>6</cp:revision>
  <dcterms:created xsi:type="dcterms:W3CDTF">2016-10-19T08:18:00Z</dcterms:created>
  <dcterms:modified xsi:type="dcterms:W3CDTF">2016-10-19T09:15:00Z</dcterms:modified>
</cp:coreProperties>
</file>