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F8" w:rsidRPr="00374A32" w:rsidRDefault="000218F8" w:rsidP="000218F8">
      <w:pPr>
        <w:spacing w:after="0" w:line="240" w:lineRule="auto"/>
        <w:jc w:val="right"/>
        <w:rPr>
          <w:rFonts w:ascii="Times New Roman" w:hAnsi="Times New Roman" w:cs="Times New Roman"/>
          <w:sz w:val="28"/>
          <w:szCs w:val="28"/>
          <w:lang w:val="kk-KZ"/>
        </w:rPr>
      </w:pPr>
      <w:r w:rsidRPr="00374A32">
        <w:rPr>
          <w:rFonts w:ascii="Times New Roman" w:hAnsi="Times New Roman" w:cs="Times New Roman"/>
          <w:sz w:val="28"/>
          <w:szCs w:val="28"/>
          <w:lang w:val="kk-KZ"/>
        </w:rPr>
        <w:t xml:space="preserve">Проект </w:t>
      </w: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C93823" w:rsidRDefault="000218F8" w:rsidP="000218F8">
      <w:pPr>
        <w:autoSpaceDE w:val="0"/>
        <w:autoSpaceDN w:val="0"/>
        <w:spacing w:after="0" w:line="240" w:lineRule="auto"/>
        <w:jc w:val="center"/>
        <w:rPr>
          <w:rFonts w:ascii="Times New Roman" w:hAnsi="Times New Roman" w:cs="Times New Roman"/>
          <w:sz w:val="28"/>
          <w:szCs w:val="28"/>
        </w:rPr>
      </w:pPr>
    </w:p>
    <w:p w:rsidR="000218F8" w:rsidRPr="00C93823" w:rsidRDefault="000218F8" w:rsidP="000218F8">
      <w:pPr>
        <w:autoSpaceDE w:val="0"/>
        <w:autoSpaceDN w:val="0"/>
        <w:spacing w:after="0" w:line="240" w:lineRule="auto"/>
        <w:jc w:val="center"/>
        <w:rPr>
          <w:rFonts w:ascii="Times New Roman" w:hAnsi="Times New Roman" w:cs="Times New Roman"/>
          <w:sz w:val="28"/>
          <w:szCs w:val="28"/>
        </w:rPr>
      </w:pPr>
    </w:p>
    <w:p w:rsidR="000218F8" w:rsidRPr="00C93823" w:rsidRDefault="000218F8" w:rsidP="000218F8">
      <w:pPr>
        <w:autoSpaceDE w:val="0"/>
        <w:autoSpaceDN w:val="0"/>
        <w:spacing w:after="0" w:line="240" w:lineRule="auto"/>
        <w:jc w:val="center"/>
        <w:rPr>
          <w:rFonts w:ascii="Times New Roman" w:hAnsi="Times New Roman" w:cs="Times New Roman"/>
          <w:sz w:val="28"/>
          <w:szCs w:val="28"/>
        </w:rPr>
      </w:pPr>
    </w:p>
    <w:p w:rsidR="000218F8" w:rsidRPr="00C93823"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lang w:val="kk-KZ"/>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r w:rsidRPr="00374A32">
        <w:rPr>
          <w:rFonts w:ascii="Times New Roman" w:hAnsi="Times New Roman" w:cs="Times New Roman"/>
          <w:sz w:val="28"/>
          <w:szCs w:val="28"/>
        </w:rPr>
        <w:t xml:space="preserve">ЗАКОН </w:t>
      </w: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r w:rsidRPr="00374A32">
        <w:rPr>
          <w:rFonts w:ascii="Times New Roman" w:hAnsi="Times New Roman" w:cs="Times New Roman"/>
          <w:sz w:val="28"/>
          <w:szCs w:val="28"/>
        </w:rPr>
        <w:t>РЕСПУБЛИКИ КАЗАХСТАН</w:t>
      </w:r>
    </w:p>
    <w:p w:rsidR="000218F8" w:rsidRPr="00374A32" w:rsidRDefault="000218F8" w:rsidP="000218F8">
      <w:pPr>
        <w:autoSpaceDE w:val="0"/>
        <w:autoSpaceDN w:val="0"/>
        <w:spacing w:after="0" w:line="240" w:lineRule="auto"/>
        <w:jc w:val="center"/>
        <w:rPr>
          <w:rFonts w:ascii="Times New Roman" w:hAnsi="Times New Roman" w:cs="Times New Roman"/>
          <w:sz w:val="28"/>
          <w:szCs w:val="28"/>
        </w:rPr>
      </w:pPr>
    </w:p>
    <w:p w:rsidR="000218F8" w:rsidRPr="00374A32" w:rsidRDefault="000218F8" w:rsidP="000218F8">
      <w:pPr>
        <w:autoSpaceDE w:val="0"/>
        <w:autoSpaceDN w:val="0"/>
        <w:spacing w:after="0" w:line="240" w:lineRule="auto"/>
        <w:jc w:val="center"/>
        <w:rPr>
          <w:rFonts w:ascii="Times New Roman" w:hAnsi="Times New Roman" w:cs="Times New Roman"/>
          <w:b/>
          <w:sz w:val="28"/>
          <w:szCs w:val="28"/>
        </w:rPr>
      </w:pPr>
      <w:r w:rsidRPr="00374A32">
        <w:rPr>
          <w:rFonts w:ascii="Times New Roman" w:hAnsi="Times New Roman" w:cs="Times New Roman"/>
          <w:b/>
          <w:bCs/>
          <w:sz w:val="28"/>
          <w:szCs w:val="28"/>
        </w:rPr>
        <w:t xml:space="preserve">О внесении изменений и дополнений в </w:t>
      </w:r>
      <w:r w:rsidRPr="00374A32">
        <w:rPr>
          <w:rFonts w:ascii="Times New Roman" w:hAnsi="Times New Roman" w:cs="Times New Roman"/>
          <w:b/>
          <w:bCs/>
          <w:sz w:val="28"/>
          <w:szCs w:val="28"/>
          <w:lang w:val="kk-KZ"/>
        </w:rPr>
        <w:t xml:space="preserve">некоторые законодательные акты </w:t>
      </w:r>
      <w:r w:rsidRPr="00374A32">
        <w:rPr>
          <w:rFonts w:ascii="Times New Roman" w:hAnsi="Times New Roman" w:cs="Times New Roman"/>
          <w:b/>
          <w:bCs/>
          <w:sz w:val="28"/>
          <w:szCs w:val="28"/>
        </w:rPr>
        <w:t>Республики Казахстан</w:t>
      </w:r>
      <w:r w:rsidRPr="00374A32">
        <w:rPr>
          <w:rFonts w:ascii="Times New Roman" w:hAnsi="Times New Roman" w:cs="Times New Roman"/>
          <w:b/>
          <w:bCs/>
          <w:sz w:val="28"/>
          <w:szCs w:val="28"/>
          <w:lang w:val="kk-KZ"/>
        </w:rPr>
        <w:t xml:space="preserve"> </w:t>
      </w:r>
      <w:r w:rsidRPr="00374A32">
        <w:rPr>
          <w:rFonts w:ascii="Times New Roman" w:hAnsi="Times New Roman" w:cs="Times New Roman"/>
          <w:b/>
          <w:bCs/>
          <w:sz w:val="28"/>
          <w:szCs w:val="28"/>
        </w:rPr>
        <w:t>по вопросам игорного бизнеса</w:t>
      </w:r>
    </w:p>
    <w:p w:rsidR="000218F8" w:rsidRPr="00374A32" w:rsidRDefault="000218F8" w:rsidP="000218F8">
      <w:pPr>
        <w:autoSpaceDE w:val="0"/>
        <w:autoSpaceDN w:val="0"/>
        <w:spacing w:after="0" w:line="240" w:lineRule="auto"/>
        <w:ind w:firstLine="851"/>
        <w:jc w:val="both"/>
        <w:rPr>
          <w:rFonts w:ascii="Times New Roman" w:hAnsi="Times New Roman" w:cs="Times New Roman"/>
          <w:sz w:val="28"/>
          <w:szCs w:val="28"/>
          <w:lang w:val="kk-KZ"/>
        </w:rPr>
      </w:pPr>
      <w:r w:rsidRPr="00374A32">
        <w:rPr>
          <w:rFonts w:ascii="Times New Roman" w:hAnsi="Times New Roman" w:cs="Times New Roman"/>
          <w:sz w:val="28"/>
          <w:szCs w:val="28"/>
        </w:rPr>
        <w:t> </w:t>
      </w:r>
    </w:p>
    <w:p w:rsidR="000218F8" w:rsidRPr="00374A32" w:rsidRDefault="000218F8" w:rsidP="000218F8">
      <w:pPr>
        <w:autoSpaceDE w:val="0"/>
        <w:autoSpaceDN w:val="0"/>
        <w:spacing w:after="0" w:line="240" w:lineRule="auto"/>
        <w:ind w:firstLine="851"/>
        <w:jc w:val="both"/>
        <w:rPr>
          <w:rFonts w:ascii="Times New Roman" w:hAnsi="Times New Roman" w:cs="Times New Roman"/>
          <w:sz w:val="28"/>
          <w:szCs w:val="28"/>
          <w:lang w:val="kk-KZ"/>
        </w:rPr>
      </w:pPr>
    </w:p>
    <w:p w:rsidR="000218F8" w:rsidRPr="00374A32" w:rsidRDefault="000218F8" w:rsidP="000218F8">
      <w:pPr>
        <w:spacing w:after="0" w:line="240" w:lineRule="auto"/>
        <w:ind w:firstLine="708"/>
        <w:jc w:val="both"/>
        <w:rPr>
          <w:rStyle w:val="s0"/>
          <w:rFonts w:cs="Times New Roman"/>
          <w:sz w:val="28"/>
          <w:szCs w:val="28"/>
        </w:rPr>
      </w:pPr>
      <w:r w:rsidRPr="00374A32">
        <w:rPr>
          <w:rStyle w:val="s0"/>
          <w:rFonts w:cs="Times New Roman"/>
          <w:sz w:val="28"/>
          <w:szCs w:val="28"/>
        </w:rPr>
        <w:t>Статья 1. Внести изменения и дополнения в следующие законодательные акты Республики Казахстан:</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 xml:space="preserve">1. В Закон Республики Казахстан от 12 января 2007 года «Об игорном бизнесе» (Ведомости Парламента Республики Казахстан, 2007 г., № 2, ст.15; 2009 г., № 9-10, ст.48; № 18, ст.84; № 19, ст.88; 2010 г., № 5, ст.23; № 17-18, ст.111; № 22, ст.132; 2011 г., № 1, ст.2; № 11, ст.102; № 19, ст.145; 2012 г., </w:t>
      </w:r>
      <w:r w:rsidRPr="00374A32">
        <w:rPr>
          <w:rFonts w:ascii="Times New Roman" w:hAnsi="Times New Roman" w:cs="Times New Roman"/>
          <w:sz w:val="28"/>
          <w:szCs w:val="28"/>
          <w:lang w:val="kk-KZ"/>
        </w:rPr>
        <w:t xml:space="preserve">          </w:t>
      </w:r>
      <w:r w:rsidRPr="00374A32">
        <w:rPr>
          <w:rFonts w:ascii="Times New Roman" w:hAnsi="Times New Roman" w:cs="Times New Roman"/>
          <w:sz w:val="28"/>
          <w:szCs w:val="28"/>
        </w:rPr>
        <w:t xml:space="preserve">№ 15, ст.97; 2014 г., № 1, ст.4, 9; № 10, ст.52; № 11, ст.61; № 19-I, 19-II, ст.96; </w:t>
      </w:r>
      <w:r w:rsidRPr="00360CB5">
        <w:rPr>
          <w:rFonts w:ascii="Times New Roman" w:hAnsi="Times New Roman" w:cs="Times New Roman"/>
          <w:sz w:val="28"/>
          <w:szCs w:val="28"/>
        </w:rPr>
        <w:t xml:space="preserve">               </w:t>
      </w:r>
      <w:r w:rsidRPr="00374A32">
        <w:rPr>
          <w:rFonts w:ascii="Times New Roman" w:hAnsi="Times New Roman" w:cs="Times New Roman"/>
          <w:sz w:val="28"/>
          <w:szCs w:val="28"/>
        </w:rPr>
        <w:t>№ 23, ст.143; 2015 г., № 8, ст.44; № 20-IV, ст.113; 2017 г., № 22-III, ст.109; 2018 г., № 10, cт. 32):</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eastAsia="Calibri" w:hAnsi="Times New Roman" w:cs="Times New Roman"/>
          <w:bCs/>
          <w:sz w:val="28"/>
          <w:szCs w:val="28"/>
        </w:rPr>
        <w:t xml:space="preserve">1) </w:t>
      </w:r>
      <w:r w:rsidRPr="00374A32">
        <w:rPr>
          <w:rFonts w:ascii="Times New Roman" w:hAnsi="Times New Roman" w:cs="Times New Roman"/>
          <w:sz w:val="28"/>
          <w:szCs w:val="28"/>
        </w:rPr>
        <w:t>в статье 1:</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подпункт 7) изложить в следующей редакции:</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 xml:space="preserve">«7) азартная игра </w:t>
      </w:r>
      <w:r w:rsidRPr="00374A32">
        <w:rPr>
          <w:rFonts w:ascii="Times New Roman" w:hAnsi="Times New Roman" w:cs="Times New Roman"/>
          <w:sz w:val="28"/>
          <w:szCs w:val="28"/>
          <w:lang w:val="kk-KZ"/>
        </w:rPr>
        <w:t xml:space="preserve">– </w:t>
      </w:r>
      <w:r w:rsidRPr="00374A32">
        <w:rPr>
          <w:rFonts w:ascii="Times New Roman" w:hAnsi="Times New Roman" w:cs="Times New Roman"/>
          <w:sz w:val="28"/>
          <w:szCs w:val="28"/>
        </w:rPr>
        <w:t>основанное на риске соглашение о выигрыше, заключенное участниками между собой либо с организатором игорного бизнеса по правилам, установленным организатором игорного бизнеса;»;</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дополнить подпунктом 17-3) следующего содержания:</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 xml:space="preserve"> «17-3) центр учета ставок </w:t>
      </w:r>
      <w:r w:rsidRPr="00374A32">
        <w:rPr>
          <w:rFonts w:ascii="Times New Roman" w:hAnsi="Times New Roman" w:cs="Times New Roman"/>
          <w:sz w:val="28"/>
          <w:szCs w:val="28"/>
          <w:lang w:val="kk-KZ"/>
        </w:rPr>
        <w:t>–</w:t>
      </w:r>
      <w:r w:rsidRPr="00374A32">
        <w:rPr>
          <w:rFonts w:ascii="Times New Roman" w:hAnsi="Times New Roman" w:cs="Times New Roman"/>
          <w:sz w:val="28"/>
          <w:szCs w:val="28"/>
        </w:rPr>
        <w:t xml:space="preserve"> совокупность программного обеспечения и технических средств, подключенных посредством сетей связи к аппаратно-программному комплексу организатора игорного бизнеса и обеспечивающих  регистрацию, учет ставок на пари, получение, хранение и учет информации об участнике пари, коэффициентах на варианты исхода пари, исходе события, выигрыше и выплате по нему;»;</w:t>
      </w:r>
    </w:p>
    <w:p w:rsidR="000218F8" w:rsidRPr="00374A32" w:rsidRDefault="000218F8" w:rsidP="000218F8">
      <w:pPr>
        <w:pStyle w:val="a5"/>
        <w:ind w:firstLine="703"/>
        <w:jc w:val="both"/>
        <w:rPr>
          <w:rFonts w:ascii="Times New Roman" w:hAnsi="Times New Roman"/>
          <w:bCs/>
          <w:sz w:val="28"/>
          <w:szCs w:val="28"/>
        </w:rPr>
      </w:pPr>
      <w:r w:rsidRPr="00374A32">
        <w:rPr>
          <w:rFonts w:ascii="Times New Roman" w:eastAsia="Calibri" w:hAnsi="Times New Roman"/>
          <w:bCs/>
          <w:sz w:val="28"/>
          <w:szCs w:val="28"/>
        </w:rPr>
        <w:t xml:space="preserve">2) </w:t>
      </w:r>
      <w:r w:rsidRPr="00374A32">
        <w:rPr>
          <w:rFonts w:ascii="Times New Roman" w:hAnsi="Times New Roman"/>
          <w:bCs/>
          <w:sz w:val="28"/>
          <w:szCs w:val="28"/>
        </w:rPr>
        <w:t xml:space="preserve">пункт 2 </w:t>
      </w:r>
      <w:r w:rsidRPr="00374A32">
        <w:rPr>
          <w:rFonts w:ascii="Times New Roman" w:eastAsia="Calibri" w:hAnsi="Times New Roman"/>
          <w:bCs/>
          <w:sz w:val="28"/>
          <w:szCs w:val="28"/>
        </w:rPr>
        <w:t xml:space="preserve">статьи </w:t>
      </w:r>
      <w:r w:rsidRPr="00374A32">
        <w:rPr>
          <w:rFonts w:ascii="Times New Roman" w:hAnsi="Times New Roman"/>
          <w:bCs/>
          <w:sz w:val="28"/>
          <w:szCs w:val="28"/>
        </w:rPr>
        <w:t>6:</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 xml:space="preserve">дополнить подпунктом 7) следующего содержания: </w:t>
      </w:r>
    </w:p>
    <w:p w:rsidR="000218F8" w:rsidRPr="00374A32" w:rsidRDefault="000218F8" w:rsidP="000218F8">
      <w:pPr>
        <w:pStyle w:val="a5"/>
        <w:ind w:firstLine="703"/>
        <w:jc w:val="both"/>
        <w:rPr>
          <w:rFonts w:ascii="Times New Roman" w:hAnsi="Times New Roman"/>
          <w:bCs/>
          <w:sz w:val="28"/>
          <w:szCs w:val="28"/>
        </w:rPr>
      </w:pPr>
      <w:r w:rsidRPr="00374A32">
        <w:rPr>
          <w:rFonts w:ascii="Times New Roman" w:hAnsi="Times New Roman"/>
          <w:bCs/>
          <w:sz w:val="28"/>
          <w:szCs w:val="28"/>
        </w:rPr>
        <w:t>«7</w:t>
      </w:r>
      <w:r w:rsidRPr="00374A32">
        <w:rPr>
          <w:rFonts w:ascii="Times New Roman" w:hAnsi="Times New Roman"/>
          <w:sz w:val="28"/>
          <w:szCs w:val="28"/>
        </w:rPr>
        <w:t>) организация и проведение азартных игр и (или) пари под видом розыгрыша призов, направленных на стимулирование продаж товаров (работ, услуг);</w:t>
      </w:r>
      <w:r w:rsidRPr="00374A32">
        <w:rPr>
          <w:rFonts w:ascii="Times New Roman" w:hAnsi="Times New Roman"/>
          <w:bCs/>
          <w:sz w:val="28"/>
          <w:szCs w:val="28"/>
        </w:rPr>
        <w:t>»;</w:t>
      </w:r>
    </w:p>
    <w:p w:rsidR="000218F8" w:rsidRPr="00374A32" w:rsidRDefault="000218F8" w:rsidP="000218F8">
      <w:pPr>
        <w:spacing w:after="0" w:line="240" w:lineRule="auto"/>
        <w:ind w:firstLine="720"/>
        <w:jc w:val="both"/>
        <w:rPr>
          <w:rFonts w:ascii="Times New Roman" w:hAnsi="Times New Roman" w:cs="Times New Roman"/>
          <w:bCs/>
          <w:sz w:val="28"/>
          <w:szCs w:val="28"/>
        </w:rPr>
      </w:pPr>
      <w:r w:rsidRPr="00374A32">
        <w:rPr>
          <w:rFonts w:ascii="Times New Roman" w:eastAsia="Calibri" w:hAnsi="Times New Roman" w:cs="Times New Roman"/>
          <w:bCs/>
          <w:sz w:val="28"/>
          <w:szCs w:val="28"/>
        </w:rPr>
        <w:t>3) п</w:t>
      </w:r>
      <w:r w:rsidRPr="00374A32">
        <w:rPr>
          <w:rFonts w:ascii="Times New Roman" w:hAnsi="Times New Roman" w:cs="Times New Roman"/>
          <w:bCs/>
          <w:sz w:val="28"/>
          <w:szCs w:val="28"/>
        </w:rPr>
        <w:t>ункт 1 статьи 8 дополнить подпунктом 7-5) следующего содержания:</w:t>
      </w:r>
    </w:p>
    <w:p w:rsidR="000218F8" w:rsidRPr="00374A32" w:rsidRDefault="000218F8" w:rsidP="000218F8">
      <w:pPr>
        <w:pStyle w:val="a5"/>
        <w:ind w:firstLine="703"/>
        <w:jc w:val="both"/>
        <w:rPr>
          <w:rFonts w:ascii="Times New Roman" w:eastAsia="Calibri" w:hAnsi="Times New Roman"/>
          <w:bCs/>
          <w:sz w:val="28"/>
          <w:szCs w:val="28"/>
        </w:rPr>
      </w:pPr>
      <w:r w:rsidRPr="00374A32">
        <w:rPr>
          <w:rFonts w:ascii="Times New Roman" w:hAnsi="Times New Roman"/>
          <w:bCs/>
          <w:sz w:val="28"/>
          <w:szCs w:val="28"/>
        </w:rPr>
        <w:lastRenderedPageBreak/>
        <w:t>«</w:t>
      </w:r>
      <w:r w:rsidRPr="00374A32">
        <w:rPr>
          <w:rFonts w:ascii="Times New Roman" w:hAnsi="Times New Roman"/>
          <w:sz w:val="28"/>
          <w:szCs w:val="28"/>
        </w:rPr>
        <w:t>7-5) согласовывает для местных исполнительных органов пределы территорий, подлежащих для размещения казино, залов игровых автоматов</w:t>
      </w:r>
      <w:r w:rsidRPr="00374A32">
        <w:rPr>
          <w:rFonts w:ascii="Times New Roman" w:hAnsi="Times New Roman"/>
          <w:b/>
          <w:sz w:val="28"/>
          <w:szCs w:val="28"/>
        </w:rPr>
        <w:t xml:space="preserve"> </w:t>
      </w:r>
      <w:r w:rsidRPr="00374A32">
        <w:rPr>
          <w:rFonts w:ascii="Times New Roman" w:hAnsi="Times New Roman"/>
          <w:sz w:val="28"/>
          <w:szCs w:val="28"/>
        </w:rPr>
        <w:t>в порядке, определяемом уполномоченным органом;</w:t>
      </w:r>
      <w:r w:rsidRPr="00374A32">
        <w:rPr>
          <w:rFonts w:ascii="Times New Roman" w:hAnsi="Times New Roman"/>
          <w:bCs/>
          <w:sz w:val="28"/>
          <w:szCs w:val="28"/>
        </w:rPr>
        <w:t>»;</w:t>
      </w:r>
    </w:p>
    <w:p w:rsidR="000218F8" w:rsidRPr="00374A32" w:rsidRDefault="000218F8" w:rsidP="000218F8">
      <w:pPr>
        <w:spacing w:after="0" w:line="240" w:lineRule="auto"/>
        <w:ind w:firstLine="703"/>
        <w:jc w:val="both"/>
        <w:rPr>
          <w:rFonts w:ascii="Times New Roman" w:eastAsia="Calibri" w:hAnsi="Times New Roman" w:cs="Times New Roman"/>
          <w:bCs/>
          <w:sz w:val="28"/>
          <w:szCs w:val="28"/>
        </w:rPr>
      </w:pPr>
      <w:r w:rsidRPr="00374A32">
        <w:rPr>
          <w:rFonts w:ascii="Times New Roman" w:eastAsia="Calibri" w:hAnsi="Times New Roman" w:cs="Times New Roman"/>
          <w:bCs/>
          <w:sz w:val="28"/>
          <w:szCs w:val="28"/>
        </w:rPr>
        <w:t>4) в статье 11:</w:t>
      </w:r>
    </w:p>
    <w:p w:rsidR="000218F8" w:rsidRPr="00374A32" w:rsidRDefault="000218F8" w:rsidP="000218F8">
      <w:pPr>
        <w:spacing w:after="0" w:line="240" w:lineRule="auto"/>
        <w:ind w:firstLine="703"/>
        <w:jc w:val="both"/>
        <w:rPr>
          <w:rFonts w:ascii="Times New Roman" w:hAnsi="Times New Roman" w:cs="Times New Roman"/>
          <w:bCs/>
          <w:sz w:val="28"/>
          <w:szCs w:val="28"/>
        </w:rPr>
      </w:pPr>
      <w:r w:rsidRPr="00374A32">
        <w:rPr>
          <w:rFonts w:ascii="Times New Roman" w:eastAsia="Calibri" w:hAnsi="Times New Roman" w:cs="Times New Roman"/>
          <w:bCs/>
          <w:sz w:val="28"/>
          <w:szCs w:val="28"/>
        </w:rPr>
        <w:t>п</w:t>
      </w:r>
      <w:r w:rsidRPr="00374A32">
        <w:rPr>
          <w:rFonts w:ascii="Times New Roman" w:hAnsi="Times New Roman" w:cs="Times New Roman"/>
          <w:bCs/>
          <w:sz w:val="28"/>
          <w:szCs w:val="28"/>
        </w:rPr>
        <w:t>ункт 1 изложить в следующей редакции:</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 xml:space="preserve">1. Казино и залы игровых автоматов подлежат размещению в Алматинской области: на побережье Капшагайского водохранилища, в Алатауском сельском округе Талгарского района, Пиджимском сельском округе Панфиловского района, в Бурабайском районе Акмолинской области и </w:t>
      </w:r>
      <w:r w:rsidRPr="00374A32">
        <w:rPr>
          <w:rFonts w:ascii="Times New Roman" w:hAnsi="Times New Roman" w:cs="Times New Roman"/>
          <w:sz w:val="28"/>
          <w:szCs w:val="28"/>
          <w:lang w:val="kk-KZ"/>
        </w:rPr>
        <w:t>Мангистауской области на побережье Каспийского моря в пляжной курортной зоне, входящей в ТОП-10 карты туристификации</w:t>
      </w:r>
      <w:r w:rsidRPr="00374A32">
        <w:rPr>
          <w:rFonts w:ascii="Times New Roman" w:hAnsi="Times New Roman" w:cs="Times New Roman"/>
          <w:sz w:val="28"/>
          <w:szCs w:val="28"/>
        </w:rPr>
        <w:t xml:space="preserve"> в пределах территорий, определяемых местными исполнительными органами по согласованию с уполномоченным органом.</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rPr>
        <w:t>Изменение пределов территорий местными исполнительными органами, за исключением случаев необходимости защиты особо охраняемых природных территорий, жизни и здоровья людей, угрозы уничтожения и порчи объектов историко-культурного наследия, обеспечения национальной безопасности страны, запрещается.</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3 изложить в следующей редакции:</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3. Игорные заведения, кассы тотализатора или букмекерской конторы должны располагаться в нежилых помещениях. Запрещается их размещение в нежилых помещениях жилых домов (жилых зданий), зданиях промышленных предприятий и их комплекс</w:t>
      </w:r>
      <w:r w:rsidRPr="00374A32">
        <w:rPr>
          <w:rFonts w:ascii="Times New Roman" w:hAnsi="Times New Roman" w:cs="Times New Roman"/>
          <w:sz w:val="28"/>
          <w:szCs w:val="28"/>
          <w:lang w:val="kk-KZ"/>
        </w:rPr>
        <w:t>ах</w:t>
      </w:r>
      <w:r w:rsidRPr="00374A32">
        <w:rPr>
          <w:rFonts w:ascii="Times New Roman" w:hAnsi="Times New Roman" w:cs="Times New Roman"/>
          <w:sz w:val="28"/>
          <w:szCs w:val="28"/>
        </w:rPr>
        <w:t xml:space="preserve">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lang w:val="kk-KZ"/>
        </w:rPr>
        <w:t>Организатору игорного бизнеса</w:t>
      </w:r>
      <w:r w:rsidRPr="00374A32">
        <w:rPr>
          <w:rFonts w:ascii="Times New Roman" w:hAnsi="Times New Roman" w:cs="Times New Roman"/>
          <w:sz w:val="28"/>
          <w:szCs w:val="28"/>
        </w:rPr>
        <w:t>, осуществляющему деятельность букмекерской конторы и тотализатора, запрещается размещать вне касс оборудование, позволяющее участникам пари наблюдать развитие и исход события, на результат которого ими были сделаны ставки, а также предоставлять участникам пари технические средства, включая услуги связи, для доступа к электронной кассе тотализатора или букмекерской конторы или информации о принятых ставках, выплаченных и невыплаченных выигрышах.»;</w:t>
      </w:r>
    </w:p>
    <w:p w:rsidR="000218F8" w:rsidRPr="00374A32" w:rsidRDefault="000218F8" w:rsidP="000218F8">
      <w:pPr>
        <w:spacing w:after="0" w:line="240" w:lineRule="auto"/>
        <w:ind w:firstLine="703"/>
        <w:jc w:val="both"/>
        <w:rPr>
          <w:rFonts w:ascii="Times New Roman" w:eastAsia="Calibri" w:hAnsi="Times New Roman" w:cs="Times New Roman"/>
          <w:bCs/>
          <w:sz w:val="28"/>
          <w:szCs w:val="28"/>
        </w:rPr>
      </w:pPr>
      <w:r w:rsidRPr="00374A32">
        <w:rPr>
          <w:rFonts w:ascii="Times New Roman" w:eastAsia="Calibri" w:hAnsi="Times New Roman" w:cs="Times New Roman"/>
          <w:bCs/>
          <w:sz w:val="28"/>
          <w:szCs w:val="28"/>
        </w:rPr>
        <w:t>5) в статье 12:</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9 изложить в следующей редакции:</w:t>
      </w:r>
    </w:p>
    <w:p w:rsidR="000218F8" w:rsidRPr="00374A32" w:rsidRDefault="000218F8" w:rsidP="000218F8">
      <w:pPr>
        <w:spacing w:after="0" w:line="240" w:lineRule="auto"/>
        <w:ind w:firstLine="703"/>
        <w:jc w:val="both"/>
        <w:rPr>
          <w:rFonts w:ascii="Times New Roman" w:hAnsi="Times New Roman" w:cs="Times New Roman"/>
          <w:bCs/>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9. Организатор игорного бизнеса, осуществляющий деятельность букмекерской конторы или тотализатора, обязан посредством аппаратно-программного комплекса и оборудования для организации и проведения пари осуществлять и обеспечивать прием, единый учет общей суммы сделанных ставок, обработку ставок участников пари и выплаты выигрыша. Организатор игорного бизнеса, осуществляющий деятельность букмекерской конторы или тотализатора, обязан обеспечить передачу данных аппаратно-программного комплекса в центр учета ставок не реже одного раза в месяц.</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11 изложить в следующей редакции:</w:t>
      </w:r>
    </w:p>
    <w:p w:rsidR="000218F8" w:rsidRPr="00374A32" w:rsidRDefault="000218F8" w:rsidP="000218F8">
      <w:pPr>
        <w:spacing w:after="0" w:line="240" w:lineRule="auto"/>
        <w:ind w:firstLine="703"/>
        <w:jc w:val="both"/>
        <w:rPr>
          <w:rFonts w:ascii="Times New Roman" w:hAnsi="Times New Roman" w:cs="Times New Roman"/>
          <w:bCs/>
          <w:sz w:val="28"/>
          <w:szCs w:val="28"/>
        </w:rPr>
      </w:pPr>
      <w:r w:rsidRPr="00374A32">
        <w:rPr>
          <w:rFonts w:ascii="Times New Roman" w:hAnsi="Times New Roman" w:cs="Times New Roman"/>
          <w:bCs/>
          <w:sz w:val="28"/>
          <w:szCs w:val="28"/>
        </w:rPr>
        <w:lastRenderedPageBreak/>
        <w:t xml:space="preserve">«11. </w:t>
      </w:r>
      <w:r w:rsidRPr="00374A32">
        <w:rPr>
          <w:rFonts w:ascii="Times New Roman" w:hAnsi="Times New Roman" w:cs="Times New Roman"/>
          <w:sz w:val="28"/>
          <w:szCs w:val="28"/>
        </w:rPr>
        <w:t>Организатор игорного бизнеса, осуществляющий деятельность тотализатора, принимает ставки на предстоящие реальные события, происходящие в рамках конно-спортивных соревнований (конные скачки, бега) и (или) собачьих бегов</w:t>
      </w:r>
      <w:r w:rsidRPr="00374A32">
        <w:rPr>
          <w:rFonts w:ascii="Times New Roman" w:hAnsi="Times New Roman" w:cs="Times New Roman"/>
          <w:sz w:val="28"/>
          <w:szCs w:val="28"/>
          <w:lang w:val="kk-KZ"/>
        </w:rPr>
        <w:t>.</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12 изложить в следующей редакции:</w:t>
      </w:r>
    </w:p>
    <w:p w:rsidR="000218F8" w:rsidRPr="00374A32" w:rsidRDefault="000218F8" w:rsidP="000218F8">
      <w:pPr>
        <w:spacing w:after="0" w:line="240" w:lineRule="auto"/>
        <w:ind w:firstLine="703"/>
        <w:jc w:val="both"/>
        <w:rPr>
          <w:rFonts w:ascii="Times New Roman" w:eastAsia="Calibri" w:hAnsi="Times New Roman" w:cs="Times New Roman"/>
          <w:bCs/>
          <w:sz w:val="28"/>
          <w:szCs w:val="28"/>
        </w:rPr>
      </w:pPr>
      <w:r w:rsidRPr="00374A32">
        <w:rPr>
          <w:rFonts w:ascii="Times New Roman" w:hAnsi="Times New Roman" w:cs="Times New Roman"/>
          <w:bCs/>
          <w:sz w:val="28"/>
          <w:szCs w:val="28"/>
        </w:rPr>
        <w:t>«</w:t>
      </w:r>
      <w:bookmarkStart w:id="0" w:name="z84"/>
      <w:r w:rsidRPr="00374A32">
        <w:rPr>
          <w:rFonts w:ascii="Times New Roman" w:hAnsi="Times New Roman" w:cs="Times New Roman"/>
          <w:sz w:val="28"/>
          <w:szCs w:val="28"/>
        </w:rPr>
        <w:t>12. Организатор игорного бизнеса, осуществляющий деятельность букмекерской конторы или тотализатора, принимает ставки через соответствующие кассы тотализатора или букмекерской конторы и (или) электронные кассы тотализатора или букмекерской конторы. Организатор игорного бизнеса, осуществляющий деятельность букмекерской конторы или тотализатора, обязан обеспечить регистрацию всех принятых им ставок на пари в центре учета ставок. Ставка, не прошедшая регистрацию в центре учета ставок, является недействительной.</w:t>
      </w:r>
      <w:bookmarkEnd w:id="0"/>
      <w:r w:rsidRPr="00374A32">
        <w:rPr>
          <w:rFonts w:ascii="Times New Roman" w:hAnsi="Times New Roman" w:cs="Times New Roman"/>
          <w:bCs/>
          <w:sz w:val="28"/>
          <w:szCs w:val="28"/>
        </w:rPr>
        <w:t>»;</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14 изложить в следующей редакции:</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14. Организатор игорного бизнеса, осуществляющий деятельность букмекерской конторы, принимает ставки на основании коэффициентов, рассчитанных аппаратно-программным комплексом, и только на предстоящие реальные события, происходящие в рамках спортивных соревнований, проводимых национальными спортивными федерациями или под эгидой международных спортивных организаций, федераций, комитетов.</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пункт 15 изложить в следующей редакции:</w:t>
      </w:r>
    </w:p>
    <w:p w:rsidR="000218F8" w:rsidRPr="00374A32" w:rsidRDefault="000218F8" w:rsidP="000218F8">
      <w:pPr>
        <w:spacing w:after="0" w:line="240" w:lineRule="auto"/>
        <w:ind w:firstLine="708"/>
        <w:jc w:val="both"/>
        <w:rPr>
          <w:rFonts w:ascii="Times New Roman" w:hAnsi="Times New Roman" w:cs="Times New Roman"/>
          <w:bCs/>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15. Букмекерские конторы и тотализаторы должны быть оборудованы аппаратно-программным комплексом. Организатор игорного бизнеса, осуществляющий деятельность букмекерской конторы или тотализатора, до принятия ставки, обязан произвести регистрацию участника пари посредством аппаратно-программного комплекса с внесением данных, позволяющих установить личность.</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3"/>
        <w:jc w:val="both"/>
        <w:rPr>
          <w:rFonts w:ascii="Times New Roman" w:hAnsi="Times New Roman" w:cs="Times New Roman"/>
          <w:bCs/>
          <w:sz w:val="28"/>
          <w:szCs w:val="28"/>
        </w:rPr>
      </w:pPr>
      <w:r w:rsidRPr="00374A32">
        <w:rPr>
          <w:rFonts w:ascii="Times New Roman" w:eastAsia="Calibri" w:hAnsi="Times New Roman" w:cs="Times New Roman"/>
          <w:bCs/>
          <w:sz w:val="28"/>
          <w:szCs w:val="28"/>
        </w:rPr>
        <w:t xml:space="preserve">6) </w:t>
      </w:r>
      <w:r w:rsidRPr="00374A32">
        <w:rPr>
          <w:rFonts w:ascii="Times New Roman" w:hAnsi="Times New Roman" w:cs="Times New Roman"/>
          <w:bCs/>
          <w:sz w:val="28"/>
          <w:szCs w:val="28"/>
        </w:rPr>
        <w:t>статью 12-1 изложить в следующей редакции:</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«Статья 12-1. Аппаратно-программный комплекс букмекерской конторы или тотализатора</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 xml:space="preserve">1. Сервер аппаратно-программного комплекса должен быть обеспечен фискальным режимом контрольно-кассовой машины, являющейся компьютерной системой, включенной в государственный реестр контрольно-кассовых машин в соответствии с Кодексом Республики Казахстан </w:t>
      </w:r>
      <w:r w:rsidRPr="00374A32">
        <w:rPr>
          <w:rFonts w:ascii="Times New Roman" w:hAnsi="Times New Roman" w:cs="Times New Roman"/>
          <w:sz w:val="28"/>
          <w:szCs w:val="28"/>
          <w:lang w:val="kk-KZ"/>
        </w:rPr>
        <w:t xml:space="preserve">               </w:t>
      </w:r>
      <w:r w:rsidRPr="00360CB5">
        <w:rPr>
          <w:rFonts w:ascii="Times New Roman" w:hAnsi="Times New Roman" w:cs="Times New Roman"/>
          <w:sz w:val="28"/>
          <w:szCs w:val="28"/>
        </w:rPr>
        <w:t xml:space="preserve">                </w:t>
      </w:r>
      <w:r w:rsidRPr="00374A32">
        <w:rPr>
          <w:rFonts w:ascii="Times New Roman" w:hAnsi="Times New Roman" w:cs="Times New Roman"/>
          <w:sz w:val="28"/>
          <w:szCs w:val="28"/>
        </w:rPr>
        <w:t>«О налогах и других обязательных платежах в бюджет» (Налоговый кодекс). Сервер аппаратно-программного комплекса должен находиться на территории Республики Казахстан.</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2. Организатор игорного бизнеса, осуществляющий деятельность букмекерской конторы или тотализатора, должен посредством аппаратно-программного комплекса осуществлять расчет коэффициентов выигрышей на варианты исхода пари, учет принятых ставок, расчет выигрышей по результатам пари, учет выигрышей и выплат по ним.</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rPr>
        <w:t xml:space="preserve">3. Аппаратно-программный комплекс должен обеспечивать взаимодействие с кассами букмекерских контор или тотализатора и осуществлять сбор и представление информации, позволяющей уполномоченному органу </w:t>
      </w:r>
      <w:r w:rsidRPr="00374A32">
        <w:rPr>
          <w:rFonts w:ascii="Times New Roman" w:hAnsi="Times New Roman" w:cs="Times New Roman"/>
          <w:sz w:val="28"/>
          <w:szCs w:val="28"/>
        </w:rPr>
        <w:lastRenderedPageBreak/>
        <w:t>осуществлять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bCs/>
          <w:sz w:val="28"/>
          <w:szCs w:val="28"/>
        </w:rPr>
        <w:t>7) д</w:t>
      </w:r>
      <w:r w:rsidRPr="00374A32">
        <w:rPr>
          <w:rFonts w:ascii="Times New Roman" w:hAnsi="Times New Roman" w:cs="Times New Roman"/>
          <w:sz w:val="28"/>
          <w:szCs w:val="28"/>
        </w:rPr>
        <w:t>ополнить статьей 12-2 следующего содержания:</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Статья 12-2. Центр учета ставок</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1. Центр учета ставок обеспечивает регистрацию и учет ставок на пари, получение, хранение и учет информации об участнике пари, коэффициентах на варианты исхода пари, исходе события, выигрыше и выплате по нему.</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 xml:space="preserve">2. Сервер </w:t>
      </w:r>
      <w:r w:rsidRPr="00374A32">
        <w:rPr>
          <w:rFonts w:ascii="Times New Roman" w:eastAsia="Calibri" w:hAnsi="Times New Roman" w:cs="Times New Roman"/>
          <w:sz w:val="28"/>
          <w:szCs w:val="28"/>
        </w:rPr>
        <w:t>центра учета ставок должен быть размещен в уполномоченном органе на постоянной основе</w:t>
      </w:r>
      <w:r w:rsidRPr="00374A32">
        <w:rPr>
          <w:rFonts w:ascii="Times New Roman" w:hAnsi="Times New Roman" w:cs="Times New Roman"/>
          <w:sz w:val="28"/>
          <w:szCs w:val="28"/>
        </w:rPr>
        <w:t>.</w:t>
      </w:r>
    </w:p>
    <w:p w:rsidR="000218F8" w:rsidRPr="00374A32" w:rsidRDefault="000218F8" w:rsidP="000218F8">
      <w:pPr>
        <w:spacing w:after="0" w:line="240" w:lineRule="auto"/>
        <w:ind w:firstLine="703"/>
        <w:jc w:val="both"/>
        <w:rPr>
          <w:rFonts w:ascii="Times New Roman" w:hAnsi="Times New Roman" w:cs="Times New Roman"/>
          <w:bCs/>
          <w:sz w:val="28"/>
          <w:szCs w:val="28"/>
        </w:rPr>
      </w:pPr>
      <w:r w:rsidRPr="00374A32">
        <w:rPr>
          <w:rFonts w:ascii="Times New Roman" w:hAnsi="Times New Roman" w:cs="Times New Roman"/>
          <w:sz w:val="28"/>
          <w:szCs w:val="28"/>
        </w:rPr>
        <w:t>3. Центр учета ставок должен обеспечивать защиту информации от утраты, хищения, искажения, подделки, несанкционированного доступа и действий по ее распространению, блокированию, уничтожению, модификации, копированию и иных незаконных действий.</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bCs/>
          <w:sz w:val="28"/>
          <w:szCs w:val="28"/>
        </w:rPr>
        <w:t>4. Информация, содержащаяся в центре учета ставок, не подлежит разглашению лицами, имеющими доступ к информации, как в период исполнения ими своих обязанностей, так и после завершения их исполнения, за исключением случаев представления информации в налоговые органы</w:t>
      </w:r>
      <w:r w:rsidRPr="00374A32">
        <w:rPr>
          <w:rFonts w:ascii="Times New Roman" w:hAnsi="Times New Roman" w:cs="Times New Roman"/>
          <w:sz w:val="28"/>
          <w:szCs w:val="28"/>
        </w:rPr>
        <w:t>.</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rPr>
        <w:t>8) дополнить статьей 15-1 следующего содержания:</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bCs/>
          <w:sz w:val="28"/>
          <w:szCs w:val="28"/>
        </w:rPr>
        <w:t>«</w:t>
      </w:r>
      <w:r w:rsidRPr="00374A32">
        <w:rPr>
          <w:rFonts w:ascii="Times New Roman" w:hAnsi="Times New Roman" w:cs="Times New Roman"/>
          <w:sz w:val="28"/>
          <w:szCs w:val="28"/>
        </w:rPr>
        <w:t>Статья 15-1. Самоограничение участия в азартных играх и (или) пари</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1. Физическое лицо может самостоятельно ограничить себя в участии в азартных играх и (или) пари сроком от шести месяцев до одного года путем личной подачи письменного заявления в произвольной форме любому организатору игорного бизнеса.</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2. Заявление должно содержать его фамилию, имя, отчество (при наличии), данные документа, удостоверяющего его личность, срок добровольного ограничения от участия в азартных играх и (или) пари, личную подпись. Поданное заявление не подлежит возврату или отзыву. Подача заявления одному из организаторов игорного бизнеса рассматривается как подача заявления всем организаторам игорного бизнеса на территории Республики Казахстан.</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Копия принятого и зарегистрированного организатором игорного бизнеса заявления не позднее пяти рабочих дней, следующих за днем его принятия, направляется уполномоченному органу.</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 xml:space="preserve">3. Уполномоченный орган не позднее трех рабочих дней, следующих за днем поступления копии такого заявления, вносит сведения о физическом лице в список физических лиц, ограниченных в участии в азартных играх и (или) пари, доступ к которому обеспечивается посредством интернет-ресурса уполномоченного органа только организаторам игорного бизнеса. </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Информация о физических лицах, ограниченных в участии в азартных играх и (или) пари, является конфиденциальной.</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Лица, получающие доступ к информации о физических лицах, ограниченных в участии в азартных играх и (или) пари, обеспечивают ее конфиденциальность путем соблюдения требований не допускать ее распространения без согласия субъекта или его законного представителя либо наличия иного законного основания.</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lastRenderedPageBreak/>
        <w:t>Лица, которым стали известны сведения о физических лицах, ограниченных в участии в азартных играх и (или) пари в связи с профессиональной, служебной необходимостью, а также трудовыми отношениями, обязаны обеспечивать их конфиденциальность.</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4. До истечения срока ограничения от посещения игорных заведений физическим лицом может подаваться заявление о продлении ограничения на новый срок.</w:t>
      </w:r>
    </w:p>
    <w:p w:rsidR="000218F8" w:rsidRPr="00374A32" w:rsidRDefault="000218F8" w:rsidP="000218F8">
      <w:pPr>
        <w:spacing w:after="0" w:line="240" w:lineRule="auto"/>
        <w:ind w:firstLine="708"/>
        <w:jc w:val="both"/>
        <w:rPr>
          <w:rFonts w:ascii="Times New Roman" w:hAnsi="Times New Roman" w:cs="Times New Roman"/>
          <w:sz w:val="28"/>
          <w:szCs w:val="28"/>
        </w:rPr>
      </w:pPr>
      <w:r w:rsidRPr="00374A32">
        <w:rPr>
          <w:rFonts w:ascii="Times New Roman" w:hAnsi="Times New Roman" w:cs="Times New Roman"/>
          <w:sz w:val="28"/>
          <w:szCs w:val="28"/>
        </w:rPr>
        <w:t>5. После дня окончания срока добровольного ограничения от участия в азартных играх и (или) пари уполномоченный орган обеспечивает исключение участника азартных игр и (или) пари из списка физических лиц, ограниченных в участии в азартных играх и (или) пари.</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rPr>
        <w:t>6. Запрещаются организация и проведение азартных игр и (или) пари с лицами, находящимися в списке физических лиц, ограниченных в участии в азартных играх и (или) пари.</w:t>
      </w:r>
      <w:r w:rsidRPr="00374A32">
        <w:rPr>
          <w:rFonts w:ascii="Times New Roman" w:hAnsi="Times New Roman" w:cs="Times New Roman"/>
          <w:bCs/>
          <w:sz w:val="28"/>
          <w:szCs w:val="28"/>
        </w:rPr>
        <w:t>».</w:t>
      </w:r>
    </w:p>
    <w:p w:rsidR="000218F8" w:rsidRPr="00374A32" w:rsidRDefault="000218F8" w:rsidP="000218F8">
      <w:pPr>
        <w:spacing w:after="0" w:line="240" w:lineRule="auto"/>
        <w:ind w:firstLine="703"/>
        <w:jc w:val="both"/>
        <w:rPr>
          <w:rFonts w:ascii="Times New Roman" w:hAnsi="Times New Roman" w:cs="Times New Roman"/>
          <w:sz w:val="28"/>
          <w:szCs w:val="28"/>
        </w:rPr>
      </w:pPr>
      <w:r w:rsidRPr="00374A32">
        <w:rPr>
          <w:rFonts w:ascii="Times New Roman" w:hAnsi="Times New Roman" w:cs="Times New Roman"/>
          <w:sz w:val="28"/>
          <w:szCs w:val="28"/>
        </w:rPr>
        <w:t xml:space="preserve">2. В Закон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cт.46; № 11, ст.57; № 16, ст.79; № 19-II, ст.103; № 20-IV, ст.113; № 21-I, ст.128; </w:t>
      </w:r>
      <w:r w:rsidRPr="00360CB5">
        <w:rPr>
          <w:rFonts w:ascii="Times New Roman" w:hAnsi="Times New Roman" w:cs="Times New Roman"/>
          <w:sz w:val="28"/>
          <w:szCs w:val="28"/>
        </w:rPr>
        <w:t xml:space="preserve">                </w:t>
      </w:r>
      <w:r w:rsidRPr="00374A32">
        <w:rPr>
          <w:rFonts w:ascii="Times New Roman" w:hAnsi="Times New Roman" w:cs="Times New Roman"/>
          <w:sz w:val="28"/>
          <w:szCs w:val="28"/>
        </w:rPr>
        <w:t xml:space="preserve">№ 21-III, ст.135; № 22-II, ст.144, 145; № 22-V, ст.156, 158; № 22-VI, ст.159; </w:t>
      </w:r>
      <w:r w:rsidRPr="00360CB5">
        <w:rPr>
          <w:rFonts w:ascii="Times New Roman" w:hAnsi="Times New Roman" w:cs="Times New Roman"/>
          <w:sz w:val="28"/>
          <w:szCs w:val="28"/>
        </w:rPr>
        <w:t xml:space="preserve">            </w:t>
      </w:r>
      <w:r w:rsidRPr="00374A32">
        <w:rPr>
          <w:rFonts w:ascii="Times New Roman" w:hAnsi="Times New Roman" w:cs="Times New Roman"/>
          <w:sz w:val="28"/>
          <w:szCs w:val="28"/>
        </w:rPr>
        <w:t xml:space="preserve">№ 23-I, ст.169; 2016 г., № 1, ст.2, 4; № 6, ст.45; № 7-I, ст.50; № 7-II, ст.53; № 8-I, ст.62; № 8-II, ст.68; № 12, cт.87; 2017 г., № 1-2, ст.3; № 4, ст.7; </w:t>
      </w:r>
      <w:r w:rsidRPr="00374A32">
        <w:rPr>
          <w:rFonts w:ascii="Times New Roman" w:hAnsi="Times New Roman" w:cs="Times New Roman"/>
          <w:sz w:val="28"/>
          <w:szCs w:val="28"/>
          <w:lang w:val="kk-KZ"/>
        </w:rPr>
        <w:t xml:space="preserve"> </w:t>
      </w:r>
      <w:r w:rsidRPr="00374A32">
        <w:rPr>
          <w:rFonts w:ascii="Times New Roman" w:hAnsi="Times New Roman" w:cs="Times New Roman"/>
          <w:sz w:val="28"/>
          <w:szCs w:val="28"/>
        </w:rPr>
        <w:t xml:space="preserve">№ 9, ст.21, 22; </w:t>
      </w:r>
      <w:r w:rsidRPr="00360CB5">
        <w:rPr>
          <w:rFonts w:ascii="Times New Roman" w:hAnsi="Times New Roman" w:cs="Times New Roman"/>
          <w:sz w:val="28"/>
          <w:szCs w:val="28"/>
        </w:rPr>
        <w:t xml:space="preserve">          </w:t>
      </w:r>
      <w:r w:rsidRPr="00C93823">
        <w:rPr>
          <w:rFonts w:ascii="Times New Roman" w:hAnsi="Times New Roman" w:cs="Times New Roman"/>
          <w:sz w:val="28"/>
          <w:szCs w:val="28"/>
        </w:rPr>
        <w:t xml:space="preserve"> </w:t>
      </w:r>
      <w:r w:rsidRPr="00374A32">
        <w:rPr>
          <w:rFonts w:ascii="Times New Roman" w:hAnsi="Times New Roman" w:cs="Times New Roman"/>
          <w:sz w:val="28"/>
          <w:szCs w:val="28"/>
        </w:rPr>
        <w:t xml:space="preserve">№ 11, ст.29; № 12, ст.34; № 23-III, ст.111; № 23-V, ст.113; </w:t>
      </w:r>
      <w:r w:rsidRPr="00374A32">
        <w:rPr>
          <w:rFonts w:ascii="Times New Roman" w:hAnsi="Times New Roman" w:cs="Times New Roman"/>
          <w:sz w:val="28"/>
          <w:szCs w:val="28"/>
          <w:lang w:val="kk-KZ"/>
        </w:rPr>
        <w:t xml:space="preserve">        </w:t>
      </w:r>
      <w:r w:rsidRPr="00374A32">
        <w:rPr>
          <w:rFonts w:ascii="Times New Roman" w:hAnsi="Times New Roman" w:cs="Times New Roman"/>
          <w:sz w:val="28"/>
          <w:szCs w:val="28"/>
        </w:rPr>
        <w:t xml:space="preserve">№ 24, ст.115; 2018 г., № 10, ст.32; № 11, cт. 47): </w:t>
      </w:r>
    </w:p>
    <w:p w:rsidR="000218F8" w:rsidRPr="00374A32" w:rsidRDefault="000218F8" w:rsidP="000218F8">
      <w:pPr>
        <w:pStyle w:val="a3"/>
        <w:shd w:val="clear" w:color="auto" w:fill="FFFFFF"/>
        <w:spacing w:before="0" w:beforeAutospacing="0" w:after="0" w:afterAutospacing="0"/>
        <w:ind w:firstLine="703"/>
        <w:jc w:val="both"/>
        <w:textAlignment w:val="baseline"/>
        <w:rPr>
          <w:sz w:val="28"/>
          <w:szCs w:val="28"/>
        </w:rPr>
      </w:pPr>
      <w:r w:rsidRPr="00374A32">
        <w:rPr>
          <w:sz w:val="28"/>
          <w:szCs w:val="28"/>
        </w:rPr>
        <w:t>строки, порядковые номера 67, 68, 69, 70, приложения изложить в следующей редакции:</w:t>
      </w:r>
    </w:p>
    <w:p w:rsidR="000218F8" w:rsidRPr="00374A32" w:rsidRDefault="000218F8" w:rsidP="000218F8">
      <w:pPr>
        <w:pStyle w:val="a3"/>
        <w:shd w:val="clear" w:color="auto" w:fill="FFFFFF"/>
        <w:spacing w:before="0" w:beforeAutospacing="0" w:after="0" w:afterAutospacing="0"/>
        <w:ind w:firstLine="703"/>
        <w:jc w:val="both"/>
        <w:textAlignment w:val="baseline"/>
        <w:rPr>
          <w:sz w:val="28"/>
          <w:szCs w:val="28"/>
        </w:rPr>
      </w:pPr>
      <w:r w:rsidRPr="00374A32">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08"/>
        <w:gridCol w:w="4474"/>
      </w:tblGrid>
      <w:tr w:rsidR="000218F8" w:rsidRPr="00374A32" w:rsidTr="00435FDD">
        <w:tc>
          <w:tcPr>
            <w:tcW w:w="709" w:type="dxa"/>
          </w:tcPr>
          <w:p w:rsidR="000218F8" w:rsidRPr="00374A32" w:rsidRDefault="000218F8" w:rsidP="00435FDD">
            <w:pPr>
              <w:pStyle w:val="a3"/>
              <w:spacing w:before="0" w:beforeAutospacing="0" w:after="0" w:afterAutospacing="0"/>
              <w:jc w:val="both"/>
              <w:textAlignment w:val="baseline"/>
              <w:rPr>
                <w:sz w:val="28"/>
                <w:szCs w:val="28"/>
              </w:rPr>
            </w:pPr>
            <w:r w:rsidRPr="00374A32">
              <w:rPr>
                <w:sz w:val="28"/>
                <w:szCs w:val="28"/>
              </w:rPr>
              <w:t>67.</w:t>
            </w:r>
          </w:p>
        </w:tc>
        <w:tc>
          <w:tcPr>
            <w:tcW w:w="4536"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Лицензия на занятие деятельностью зала игровых автоматов</w:t>
            </w:r>
          </w:p>
        </w:tc>
        <w:tc>
          <w:tcPr>
            <w:tcW w:w="4500"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Неотчуждаемая; срок действия лицензии 10 лет; класс 2</w:t>
            </w:r>
          </w:p>
        </w:tc>
      </w:tr>
      <w:tr w:rsidR="000218F8" w:rsidRPr="00374A32" w:rsidTr="00435FDD">
        <w:tc>
          <w:tcPr>
            <w:tcW w:w="709" w:type="dxa"/>
          </w:tcPr>
          <w:p w:rsidR="000218F8" w:rsidRPr="00374A32" w:rsidRDefault="000218F8" w:rsidP="00435FDD">
            <w:pPr>
              <w:pStyle w:val="a3"/>
              <w:spacing w:before="0" w:beforeAutospacing="0" w:after="0" w:afterAutospacing="0"/>
              <w:jc w:val="both"/>
              <w:textAlignment w:val="baseline"/>
              <w:rPr>
                <w:sz w:val="28"/>
                <w:szCs w:val="28"/>
              </w:rPr>
            </w:pPr>
            <w:r w:rsidRPr="00374A32">
              <w:rPr>
                <w:sz w:val="28"/>
                <w:szCs w:val="28"/>
              </w:rPr>
              <w:t>68.</w:t>
            </w:r>
          </w:p>
        </w:tc>
        <w:tc>
          <w:tcPr>
            <w:tcW w:w="4536"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Лицензия на занятие деятельностью казино</w:t>
            </w:r>
          </w:p>
        </w:tc>
        <w:tc>
          <w:tcPr>
            <w:tcW w:w="4500"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Неотчуждаемая; срок действия лицензии 10 лет; класс 2</w:t>
            </w:r>
          </w:p>
        </w:tc>
      </w:tr>
      <w:tr w:rsidR="000218F8" w:rsidRPr="00374A32" w:rsidTr="00435FDD">
        <w:tc>
          <w:tcPr>
            <w:tcW w:w="709" w:type="dxa"/>
          </w:tcPr>
          <w:p w:rsidR="000218F8" w:rsidRPr="00374A32" w:rsidRDefault="000218F8" w:rsidP="00435FDD">
            <w:pPr>
              <w:pStyle w:val="a3"/>
              <w:spacing w:before="0" w:beforeAutospacing="0" w:after="0" w:afterAutospacing="0"/>
              <w:jc w:val="both"/>
              <w:textAlignment w:val="baseline"/>
              <w:rPr>
                <w:sz w:val="28"/>
                <w:szCs w:val="28"/>
              </w:rPr>
            </w:pPr>
            <w:r w:rsidRPr="00374A32">
              <w:rPr>
                <w:sz w:val="28"/>
                <w:szCs w:val="28"/>
              </w:rPr>
              <w:t>69.</w:t>
            </w:r>
          </w:p>
        </w:tc>
        <w:tc>
          <w:tcPr>
            <w:tcW w:w="4536"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Лицензия на занятие деятельностью тотализатора</w:t>
            </w:r>
          </w:p>
        </w:tc>
        <w:tc>
          <w:tcPr>
            <w:tcW w:w="4500"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Неотчуждаемая; срок действия лицензии 10 лет; класс 2</w:t>
            </w:r>
          </w:p>
        </w:tc>
      </w:tr>
      <w:tr w:rsidR="000218F8" w:rsidRPr="00374A32" w:rsidTr="00435FDD">
        <w:tc>
          <w:tcPr>
            <w:tcW w:w="709" w:type="dxa"/>
          </w:tcPr>
          <w:p w:rsidR="000218F8" w:rsidRPr="00374A32" w:rsidRDefault="000218F8" w:rsidP="00435FDD">
            <w:pPr>
              <w:pStyle w:val="a3"/>
              <w:spacing w:before="0" w:beforeAutospacing="0" w:after="0" w:afterAutospacing="0"/>
              <w:jc w:val="both"/>
              <w:textAlignment w:val="baseline"/>
              <w:rPr>
                <w:sz w:val="28"/>
                <w:szCs w:val="28"/>
              </w:rPr>
            </w:pPr>
            <w:r w:rsidRPr="00374A32">
              <w:rPr>
                <w:sz w:val="28"/>
                <w:szCs w:val="28"/>
              </w:rPr>
              <w:t>70.</w:t>
            </w:r>
          </w:p>
        </w:tc>
        <w:tc>
          <w:tcPr>
            <w:tcW w:w="4536"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Лицензия на занятие деятельностью букмекерской конторы</w:t>
            </w:r>
          </w:p>
        </w:tc>
        <w:tc>
          <w:tcPr>
            <w:tcW w:w="4500" w:type="dxa"/>
          </w:tcPr>
          <w:p w:rsidR="000218F8" w:rsidRPr="00374A32" w:rsidRDefault="000218F8" w:rsidP="00435FDD">
            <w:pPr>
              <w:pStyle w:val="a3"/>
              <w:spacing w:before="0" w:beforeAutospacing="0" w:after="0" w:afterAutospacing="0"/>
              <w:jc w:val="both"/>
              <w:textAlignment w:val="baseline"/>
              <w:rPr>
                <w:sz w:val="28"/>
                <w:szCs w:val="28"/>
              </w:rPr>
            </w:pPr>
            <w:r w:rsidRPr="00374A32">
              <w:rPr>
                <w:bCs/>
                <w:sz w:val="28"/>
                <w:szCs w:val="28"/>
              </w:rPr>
              <w:t>Неотчуждаемая; срок действия лицензии 10 лет; класс 2</w:t>
            </w:r>
          </w:p>
        </w:tc>
      </w:tr>
    </w:tbl>
    <w:p w:rsidR="000218F8" w:rsidRPr="00374A32" w:rsidRDefault="000218F8" w:rsidP="000218F8">
      <w:pPr>
        <w:spacing w:after="0" w:line="240" w:lineRule="auto"/>
        <w:ind w:firstLine="720"/>
        <w:jc w:val="right"/>
        <w:rPr>
          <w:rFonts w:ascii="Times New Roman" w:hAnsi="Times New Roman" w:cs="Times New Roman"/>
          <w:sz w:val="28"/>
          <w:szCs w:val="28"/>
          <w:lang w:val="kk-KZ"/>
        </w:rPr>
      </w:pPr>
      <w:r w:rsidRPr="00374A32">
        <w:rPr>
          <w:rFonts w:ascii="Times New Roman" w:hAnsi="Times New Roman" w:cs="Times New Roman"/>
          <w:sz w:val="28"/>
          <w:szCs w:val="28"/>
        </w:rPr>
        <w:t xml:space="preserve">  ».</w:t>
      </w:r>
    </w:p>
    <w:p w:rsidR="000218F8" w:rsidRPr="00C93823" w:rsidRDefault="000218F8" w:rsidP="000218F8">
      <w:pPr>
        <w:spacing w:after="0" w:line="240" w:lineRule="auto"/>
        <w:ind w:firstLine="720"/>
        <w:jc w:val="both"/>
        <w:rPr>
          <w:rFonts w:ascii="Times New Roman" w:hAnsi="Times New Roman" w:cs="Times New Roman"/>
          <w:sz w:val="28"/>
          <w:szCs w:val="28"/>
        </w:rPr>
      </w:pP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 xml:space="preserve">Статья 2. </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1. Настоящий Закон вводится в действие по истечении десяти календарных дней после дня его первого официального опубликования, за исключением</w:t>
      </w:r>
      <w:bookmarkStart w:id="1" w:name="z51"/>
      <w:bookmarkEnd w:id="1"/>
      <w:r w:rsidRPr="00374A32">
        <w:rPr>
          <w:rFonts w:ascii="Times New Roman" w:hAnsi="Times New Roman" w:cs="Times New Roman"/>
          <w:sz w:val="28"/>
          <w:szCs w:val="28"/>
        </w:rPr>
        <w:t xml:space="preserve"> абзацев третьего и седьмого подпункта 5), подпункта 7) пункта 1 статьи 1, которые вводятся в действие по истечении шести месяцев после дня его первого официального опубликования.</w:t>
      </w:r>
    </w:p>
    <w:p w:rsidR="000218F8" w:rsidRPr="00374A32" w:rsidRDefault="000218F8" w:rsidP="000218F8">
      <w:pPr>
        <w:spacing w:after="0" w:line="240" w:lineRule="auto"/>
        <w:ind w:firstLine="720"/>
        <w:jc w:val="both"/>
        <w:rPr>
          <w:rFonts w:ascii="Times New Roman" w:hAnsi="Times New Roman" w:cs="Times New Roman"/>
          <w:sz w:val="28"/>
          <w:szCs w:val="28"/>
        </w:rPr>
      </w:pPr>
      <w:r w:rsidRPr="00374A32">
        <w:rPr>
          <w:rFonts w:ascii="Times New Roman" w:hAnsi="Times New Roman" w:cs="Times New Roman"/>
          <w:sz w:val="28"/>
          <w:szCs w:val="28"/>
        </w:rPr>
        <w:t xml:space="preserve">2. Лицензиаты, осуществляющие деятельность в сфере игорного бизнеса, обязаны в течение шести месяцев со дня введения в действие настоящего Закона </w:t>
      </w:r>
      <w:r w:rsidRPr="00374A32">
        <w:rPr>
          <w:rFonts w:ascii="Times New Roman" w:hAnsi="Times New Roman" w:cs="Times New Roman"/>
          <w:sz w:val="28"/>
          <w:szCs w:val="28"/>
        </w:rPr>
        <w:lastRenderedPageBreak/>
        <w:t>привести свою деятельность в соответствие с требованиями абзацев третьего и седьмого подпункта 5), подпункта 7) пункта 1 статьи 1 настоящего Закона.</w:t>
      </w:r>
    </w:p>
    <w:p w:rsidR="000218F8" w:rsidRPr="00374A32" w:rsidRDefault="000218F8" w:rsidP="000218F8">
      <w:pPr>
        <w:spacing w:after="0" w:line="240" w:lineRule="auto"/>
        <w:ind w:firstLine="720"/>
        <w:jc w:val="both"/>
        <w:rPr>
          <w:rFonts w:ascii="Times New Roman" w:hAnsi="Times New Roman" w:cs="Times New Roman"/>
          <w:sz w:val="28"/>
          <w:szCs w:val="28"/>
          <w:highlight w:val="yellow"/>
        </w:rPr>
      </w:pPr>
    </w:p>
    <w:p w:rsidR="000218F8" w:rsidRPr="00374A32" w:rsidRDefault="000218F8" w:rsidP="000218F8">
      <w:pPr>
        <w:spacing w:after="0" w:line="240" w:lineRule="auto"/>
        <w:ind w:firstLine="720"/>
        <w:jc w:val="both"/>
        <w:rPr>
          <w:rFonts w:ascii="Times New Roman" w:hAnsi="Times New Roman" w:cs="Times New Roman"/>
          <w:sz w:val="28"/>
          <w:szCs w:val="28"/>
          <w:highlight w:val="yellow"/>
        </w:rPr>
      </w:pPr>
    </w:p>
    <w:p w:rsidR="000218F8" w:rsidRPr="00374A32" w:rsidRDefault="000218F8" w:rsidP="000218F8">
      <w:pPr>
        <w:spacing w:after="0" w:line="240" w:lineRule="auto"/>
        <w:ind w:firstLine="708"/>
        <w:jc w:val="both"/>
        <w:rPr>
          <w:rStyle w:val="s0"/>
          <w:rFonts w:cs="Times New Roman"/>
          <w:b/>
          <w:bCs/>
          <w:sz w:val="28"/>
          <w:szCs w:val="28"/>
        </w:rPr>
      </w:pPr>
      <w:r w:rsidRPr="00374A32">
        <w:rPr>
          <w:rStyle w:val="s0"/>
          <w:rFonts w:cs="Times New Roman"/>
          <w:b/>
          <w:bCs/>
          <w:sz w:val="28"/>
          <w:szCs w:val="28"/>
        </w:rPr>
        <w:t xml:space="preserve">Президент </w:t>
      </w:r>
    </w:p>
    <w:p w:rsidR="000218F8" w:rsidRPr="00374A32" w:rsidRDefault="000218F8" w:rsidP="000218F8">
      <w:pPr>
        <w:tabs>
          <w:tab w:val="left" w:pos="4140"/>
        </w:tabs>
        <w:spacing w:after="0" w:line="240" w:lineRule="auto"/>
        <w:jc w:val="both"/>
        <w:rPr>
          <w:rStyle w:val="s0"/>
          <w:rFonts w:cs="Times New Roman"/>
          <w:b/>
          <w:bCs/>
          <w:sz w:val="28"/>
          <w:szCs w:val="28"/>
        </w:rPr>
      </w:pPr>
      <w:r w:rsidRPr="00374A32">
        <w:rPr>
          <w:rStyle w:val="s0"/>
          <w:rFonts w:cs="Times New Roman"/>
          <w:b/>
          <w:bCs/>
          <w:sz w:val="28"/>
          <w:szCs w:val="28"/>
        </w:rPr>
        <w:t xml:space="preserve">Республики Казахстан </w:t>
      </w:r>
      <w:r>
        <w:rPr>
          <w:rStyle w:val="s0"/>
          <w:rFonts w:cs="Times New Roman"/>
          <w:b/>
          <w:bCs/>
          <w:sz w:val="28"/>
          <w:szCs w:val="28"/>
        </w:rPr>
        <w:tab/>
      </w:r>
    </w:p>
    <w:p w:rsidR="000218F8" w:rsidRPr="00374A32" w:rsidRDefault="000218F8" w:rsidP="000218F8">
      <w:pPr>
        <w:jc w:val="both"/>
        <w:rPr>
          <w:rStyle w:val="s0"/>
          <w:rFonts w:cs="Times New Roman"/>
          <w:b/>
          <w:bCs/>
          <w:sz w:val="28"/>
          <w:szCs w:val="28"/>
        </w:rPr>
      </w:pPr>
    </w:p>
    <w:p w:rsidR="000218F8" w:rsidRPr="00374A32" w:rsidRDefault="000218F8" w:rsidP="000218F8">
      <w:pPr>
        <w:pStyle w:val="a3"/>
        <w:spacing w:before="0" w:beforeAutospacing="0" w:after="0" w:afterAutospacing="0"/>
        <w:ind w:firstLine="708"/>
        <w:jc w:val="both"/>
        <w:rPr>
          <w:color w:val="000000"/>
          <w:sz w:val="28"/>
          <w:szCs w:val="28"/>
          <w:lang w:val="en-US"/>
        </w:rPr>
      </w:pPr>
    </w:p>
    <w:p w:rsidR="00374A32" w:rsidRPr="000218F8" w:rsidRDefault="00374A32" w:rsidP="000218F8">
      <w:bookmarkStart w:id="2" w:name="_GoBack"/>
      <w:bookmarkEnd w:id="2"/>
    </w:p>
    <w:sectPr w:rsidR="00374A32" w:rsidRPr="000218F8" w:rsidSect="00C93823">
      <w:headerReference w:type="default" r:id="rId8"/>
      <w:headerReference w:type="first" r:id="rId9"/>
      <w:pgSz w:w="11906" w:h="16838"/>
      <w:pgMar w:top="851" w:right="680"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97" w:rsidRDefault="001C0297" w:rsidP="003D2905">
      <w:pPr>
        <w:spacing w:after="0" w:line="240" w:lineRule="auto"/>
      </w:pPr>
      <w:r>
        <w:separator/>
      </w:r>
    </w:p>
  </w:endnote>
  <w:endnote w:type="continuationSeparator" w:id="0">
    <w:p w:rsidR="001C0297" w:rsidRDefault="001C0297" w:rsidP="003D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97" w:rsidRDefault="001C0297" w:rsidP="003D2905">
      <w:pPr>
        <w:spacing w:after="0" w:line="240" w:lineRule="auto"/>
      </w:pPr>
      <w:r>
        <w:separator/>
      </w:r>
    </w:p>
  </w:footnote>
  <w:footnote w:type="continuationSeparator" w:id="0">
    <w:p w:rsidR="001C0297" w:rsidRDefault="001C0297" w:rsidP="003D2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33"/>
      <w:docPartObj>
        <w:docPartGallery w:val="Page Numbers (Top of Page)"/>
        <w:docPartUnique/>
      </w:docPartObj>
    </w:sdtPr>
    <w:sdtEndPr/>
    <w:sdtContent>
      <w:p w:rsidR="005A50DF" w:rsidRDefault="00FF32D0">
        <w:pPr>
          <w:pStyle w:val="a7"/>
          <w:jc w:val="center"/>
        </w:pPr>
        <w:r w:rsidRPr="003D2905">
          <w:rPr>
            <w:rFonts w:ascii="Times New Roman" w:hAnsi="Times New Roman" w:cs="Times New Roman"/>
          </w:rPr>
          <w:fldChar w:fldCharType="begin"/>
        </w:r>
        <w:r w:rsidR="005A50DF" w:rsidRPr="003D2905">
          <w:rPr>
            <w:rFonts w:ascii="Times New Roman" w:hAnsi="Times New Roman" w:cs="Times New Roman"/>
          </w:rPr>
          <w:instrText xml:space="preserve"> PAGE   \* MERGEFORMAT </w:instrText>
        </w:r>
        <w:r w:rsidRPr="003D2905">
          <w:rPr>
            <w:rFonts w:ascii="Times New Roman" w:hAnsi="Times New Roman" w:cs="Times New Roman"/>
          </w:rPr>
          <w:fldChar w:fldCharType="separate"/>
        </w:r>
        <w:r w:rsidR="000218F8">
          <w:rPr>
            <w:rFonts w:ascii="Times New Roman" w:hAnsi="Times New Roman" w:cs="Times New Roman"/>
            <w:noProof/>
          </w:rPr>
          <w:t>6</w:t>
        </w:r>
        <w:r w:rsidRPr="003D2905">
          <w:rPr>
            <w:rFonts w:ascii="Times New Roman" w:hAnsi="Times New Roman" w:cs="Times New Roman"/>
          </w:rPr>
          <w:fldChar w:fldCharType="end"/>
        </w:r>
      </w:p>
    </w:sdtContent>
  </w:sdt>
  <w:p w:rsidR="005A50DF" w:rsidRDefault="005A50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251"/>
      <w:docPartObj>
        <w:docPartGallery w:val="Page Numbers (Top of Page)"/>
        <w:docPartUnique/>
      </w:docPartObj>
    </w:sdtPr>
    <w:sdtEndPr/>
    <w:sdtContent>
      <w:p w:rsidR="00C93823" w:rsidRDefault="000218F8">
        <w:pPr>
          <w:pStyle w:val="a7"/>
          <w:jc w:val="center"/>
        </w:pPr>
      </w:p>
    </w:sdtContent>
  </w:sdt>
  <w:p w:rsidR="00C93823" w:rsidRDefault="00C938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5CA5"/>
    <w:multiLevelType w:val="hybridMultilevel"/>
    <w:tmpl w:val="9E1C1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03A47"/>
    <w:multiLevelType w:val="hybridMultilevel"/>
    <w:tmpl w:val="D2AC8F6C"/>
    <w:lvl w:ilvl="0" w:tplc="4B742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A86504"/>
    <w:multiLevelType w:val="hybridMultilevel"/>
    <w:tmpl w:val="0C068ACA"/>
    <w:lvl w:ilvl="0" w:tplc="E7BCCC8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E5FB5"/>
    <w:multiLevelType w:val="hybridMultilevel"/>
    <w:tmpl w:val="B2944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DF"/>
    <w:rsid w:val="00020912"/>
    <w:rsid w:val="000218F8"/>
    <w:rsid w:val="00022932"/>
    <w:rsid w:val="00023539"/>
    <w:rsid w:val="000264DA"/>
    <w:rsid w:val="00026AEA"/>
    <w:rsid w:val="00026DDD"/>
    <w:rsid w:val="00027500"/>
    <w:rsid w:val="00035934"/>
    <w:rsid w:val="000439EC"/>
    <w:rsid w:val="00066030"/>
    <w:rsid w:val="000B356C"/>
    <w:rsid w:val="000D09F5"/>
    <w:rsid w:val="001312F8"/>
    <w:rsid w:val="0013634F"/>
    <w:rsid w:val="001554B2"/>
    <w:rsid w:val="001704D1"/>
    <w:rsid w:val="001A6503"/>
    <w:rsid w:val="001C0297"/>
    <w:rsid w:val="001C3BB2"/>
    <w:rsid w:val="001D33DB"/>
    <w:rsid w:val="001F30C0"/>
    <w:rsid w:val="001F4E89"/>
    <w:rsid w:val="001F5A73"/>
    <w:rsid w:val="00224FCF"/>
    <w:rsid w:val="0023196F"/>
    <w:rsid w:val="00243CE9"/>
    <w:rsid w:val="00263FD5"/>
    <w:rsid w:val="002B41AC"/>
    <w:rsid w:val="002E4DE7"/>
    <w:rsid w:val="002E5FD9"/>
    <w:rsid w:val="002F086A"/>
    <w:rsid w:val="00310D4C"/>
    <w:rsid w:val="00313CE1"/>
    <w:rsid w:val="003376C1"/>
    <w:rsid w:val="003445C8"/>
    <w:rsid w:val="00360CB5"/>
    <w:rsid w:val="00374A32"/>
    <w:rsid w:val="003D24D8"/>
    <w:rsid w:val="003D2905"/>
    <w:rsid w:val="003F5F91"/>
    <w:rsid w:val="004010E8"/>
    <w:rsid w:val="00440F35"/>
    <w:rsid w:val="00453052"/>
    <w:rsid w:val="00457DCE"/>
    <w:rsid w:val="00471BB5"/>
    <w:rsid w:val="004921FE"/>
    <w:rsid w:val="004A0443"/>
    <w:rsid w:val="004A2B28"/>
    <w:rsid w:val="004C567E"/>
    <w:rsid w:val="004F6B76"/>
    <w:rsid w:val="00505841"/>
    <w:rsid w:val="00512E73"/>
    <w:rsid w:val="0052595E"/>
    <w:rsid w:val="0054087E"/>
    <w:rsid w:val="00544E13"/>
    <w:rsid w:val="00557A53"/>
    <w:rsid w:val="00562CD0"/>
    <w:rsid w:val="005A50DF"/>
    <w:rsid w:val="005B0B3B"/>
    <w:rsid w:val="005B13AD"/>
    <w:rsid w:val="005B789B"/>
    <w:rsid w:val="005C0379"/>
    <w:rsid w:val="005C091A"/>
    <w:rsid w:val="005E3F1B"/>
    <w:rsid w:val="00600EE7"/>
    <w:rsid w:val="00610DFD"/>
    <w:rsid w:val="006575CF"/>
    <w:rsid w:val="006766EC"/>
    <w:rsid w:val="006B1E3F"/>
    <w:rsid w:val="006B50AD"/>
    <w:rsid w:val="006C670A"/>
    <w:rsid w:val="006F13DF"/>
    <w:rsid w:val="00730781"/>
    <w:rsid w:val="007322F7"/>
    <w:rsid w:val="00735850"/>
    <w:rsid w:val="007466BC"/>
    <w:rsid w:val="0075228C"/>
    <w:rsid w:val="00756147"/>
    <w:rsid w:val="00762104"/>
    <w:rsid w:val="00776710"/>
    <w:rsid w:val="0079440C"/>
    <w:rsid w:val="007B21D0"/>
    <w:rsid w:val="007E1135"/>
    <w:rsid w:val="007E17DF"/>
    <w:rsid w:val="007E1889"/>
    <w:rsid w:val="00804CDA"/>
    <w:rsid w:val="008215A0"/>
    <w:rsid w:val="00836659"/>
    <w:rsid w:val="008415A1"/>
    <w:rsid w:val="00846885"/>
    <w:rsid w:val="0085356D"/>
    <w:rsid w:val="00861C62"/>
    <w:rsid w:val="008816CF"/>
    <w:rsid w:val="00882024"/>
    <w:rsid w:val="008C4B7A"/>
    <w:rsid w:val="008D6CA4"/>
    <w:rsid w:val="008E2187"/>
    <w:rsid w:val="008E346C"/>
    <w:rsid w:val="008F0E15"/>
    <w:rsid w:val="009251C0"/>
    <w:rsid w:val="00954684"/>
    <w:rsid w:val="00962FEF"/>
    <w:rsid w:val="009664BA"/>
    <w:rsid w:val="00966B8B"/>
    <w:rsid w:val="00981C18"/>
    <w:rsid w:val="00986C6F"/>
    <w:rsid w:val="00991A38"/>
    <w:rsid w:val="009925C0"/>
    <w:rsid w:val="009A00B7"/>
    <w:rsid w:val="009C3083"/>
    <w:rsid w:val="009C374B"/>
    <w:rsid w:val="009F3501"/>
    <w:rsid w:val="00A0210D"/>
    <w:rsid w:val="00A3525E"/>
    <w:rsid w:val="00A37DB5"/>
    <w:rsid w:val="00A43AE4"/>
    <w:rsid w:val="00A62BBA"/>
    <w:rsid w:val="00A716AF"/>
    <w:rsid w:val="00A774A8"/>
    <w:rsid w:val="00A95039"/>
    <w:rsid w:val="00AC388C"/>
    <w:rsid w:val="00AD2C45"/>
    <w:rsid w:val="00AD628B"/>
    <w:rsid w:val="00B23493"/>
    <w:rsid w:val="00B3463D"/>
    <w:rsid w:val="00B65881"/>
    <w:rsid w:val="00B70E90"/>
    <w:rsid w:val="00B750C7"/>
    <w:rsid w:val="00B90088"/>
    <w:rsid w:val="00B9671C"/>
    <w:rsid w:val="00BA328A"/>
    <w:rsid w:val="00BC25CF"/>
    <w:rsid w:val="00BF20D6"/>
    <w:rsid w:val="00C00EEE"/>
    <w:rsid w:val="00C073D1"/>
    <w:rsid w:val="00C231BD"/>
    <w:rsid w:val="00C93823"/>
    <w:rsid w:val="00C96552"/>
    <w:rsid w:val="00C969C8"/>
    <w:rsid w:val="00CA45EC"/>
    <w:rsid w:val="00CC5DD4"/>
    <w:rsid w:val="00CD203B"/>
    <w:rsid w:val="00CD2AF8"/>
    <w:rsid w:val="00D067BA"/>
    <w:rsid w:val="00D45A2C"/>
    <w:rsid w:val="00D509E8"/>
    <w:rsid w:val="00D53905"/>
    <w:rsid w:val="00D7559B"/>
    <w:rsid w:val="00DC18A5"/>
    <w:rsid w:val="00DE1A2C"/>
    <w:rsid w:val="00DF7BB5"/>
    <w:rsid w:val="00E07626"/>
    <w:rsid w:val="00E25923"/>
    <w:rsid w:val="00E63673"/>
    <w:rsid w:val="00E65F47"/>
    <w:rsid w:val="00E72565"/>
    <w:rsid w:val="00EC0803"/>
    <w:rsid w:val="00EF1832"/>
    <w:rsid w:val="00EF3CBD"/>
    <w:rsid w:val="00F079C1"/>
    <w:rsid w:val="00F1196A"/>
    <w:rsid w:val="00F2571B"/>
    <w:rsid w:val="00FB3713"/>
    <w:rsid w:val="00FB45ED"/>
    <w:rsid w:val="00FD2E31"/>
    <w:rsid w:val="00FE140F"/>
    <w:rsid w:val="00FF0699"/>
    <w:rsid w:val="00FF32D0"/>
    <w:rsid w:val="00FF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331211C-61B4-4A76-A566-5C96A13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4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4"/>
    <w:unhideWhenUsed/>
    <w:qFormat/>
    <w:rsid w:val="007E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rsid w:val="002E4DE7"/>
    <w:rPr>
      <w:rFonts w:ascii="Times New Roman" w:hAnsi="Times New Roman"/>
      <w:color w:val="000000"/>
      <w:sz w:val="20"/>
      <w:u w:val="none"/>
      <w:effect w:val="none"/>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2E4DE7"/>
    <w:rPr>
      <w:rFonts w:ascii="Times New Roman" w:eastAsia="Times New Roman" w:hAnsi="Times New Roman" w:cs="Times New Roman"/>
      <w:sz w:val="24"/>
      <w:szCs w:val="24"/>
    </w:rPr>
  </w:style>
  <w:style w:type="paragraph" w:styleId="a5">
    <w:name w:val="No Spacing"/>
    <w:uiPriority w:val="1"/>
    <w:qFormat/>
    <w:rsid w:val="002E4DE7"/>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uiPriority w:val="9"/>
    <w:rsid w:val="001F4E89"/>
    <w:rPr>
      <w:rFonts w:ascii="Times New Roman" w:eastAsia="Times New Roman" w:hAnsi="Times New Roman" w:cs="Times New Roman"/>
      <w:b/>
      <w:bCs/>
      <w:kern w:val="36"/>
      <w:sz w:val="48"/>
      <w:szCs w:val="48"/>
    </w:rPr>
  </w:style>
  <w:style w:type="character" w:styleId="a6">
    <w:name w:val="Hyperlink"/>
    <w:basedOn w:val="a0"/>
    <w:rsid w:val="003F5F91"/>
    <w:rPr>
      <w:rFonts w:ascii="Times New Roman" w:hAnsi="Times New Roman" w:cs="Times New Roman"/>
      <w:color w:val="auto"/>
      <w:u w:val="single"/>
    </w:rPr>
  </w:style>
  <w:style w:type="paragraph" w:styleId="a7">
    <w:name w:val="header"/>
    <w:basedOn w:val="a"/>
    <w:link w:val="a8"/>
    <w:uiPriority w:val="99"/>
    <w:unhideWhenUsed/>
    <w:rsid w:val="003D29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905"/>
  </w:style>
  <w:style w:type="paragraph" w:styleId="a9">
    <w:name w:val="footer"/>
    <w:basedOn w:val="a"/>
    <w:link w:val="aa"/>
    <w:uiPriority w:val="99"/>
    <w:semiHidden/>
    <w:unhideWhenUsed/>
    <w:rsid w:val="003D29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2905"/>
  </w:style>
  <w:style w:type="paragraph" w:styleId="ab">
    <w:name w:val="Balloon Text"/>
    <w:basedOn w:val="a"/>
    <w:link w:val="ac"/>
    <w:uiPriority w:val="99"/>
    <w:semiHidden/>
    <w:unhideWhenUsed/>
    <w:rsid w:val="009F35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314">
      <w:bodyDiv w:val="1"/>
      <w:marLeft w:val="0"/>
      <w:marRight w:val="0"/>
      <w:marTop w:val="0"/>
      <w:marBottom w:val="0"/>
      <w:divBdr>
        <w:top w:val="none" w:sz="0" w:space="0" w:color="auto"/>
        <w:left w:val="none" w:sz="0" w:space="0" w:color="auto"/>
        <w:bottom w:val="none" w:sz="0" w:space="0" w:color="auto"/>
        <w:right w:val="none" w:sz="0" w:space="0" w:color="auto"/>
      </w:divBdr>
    </w:div>
    <w:div w:id="433718038">
      <w:bodyDiv w:val="1"/>
      <w:marLeft w:val="0"/>
      <w:marRight w:val="0"/>
      <w:marTop w:val="0"/>
      <w:marBottom w:val="0"/>
      <w:divBdr>
        <w:top w:val="none" w:sz="0" w:space="0" w:color="auto"/>
        <w:left w:val="none" w:sz="0" w:space="0" w:color="auto"/>
        <w:bottom w:val="none" w:sz="0" w:space="0" w:color="auto"/>
        <w:right w:val="none" w:sz="0" w:space="0" w:color="auto"/>
      </w:divBdr>
    </w:div>
    <w:div w:id="1366635499">
      <w:bodyDiv w:val="1"/>
      <w:marLeft w:val="0"/>
      <w:marRight w:val="0"/>
      <w:marTop w:val="0"/>
      <w:marBottom w:val="0"/>
      <w:divBdr>
        <w:top w:val="none" w:sz="0" w:space="0" w:color="auto"/>
        <w:left w:val="none" w:sz="0" w:space="0" w:color="auto"/>
        <w:bottom w:val="none" w:sz="0" w:space="0" w:color="auto"/>
        <w:right w:val="none" w:sz="0" w:space="0" w:color="auto"/>
      </w:divBdr>
    </w:div>
    <w:div w:id="16192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BE87-F403-4003-AAAE-18B86B46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dc:creator>
  <cp:lastModifiedBy>Абдрахманов Багдат</cp:lastModifiedBy>
  <cp:revision>2</cp:revision>
  <cp:lastPrinted>2018-12-29T08:01:00Z</cp:lastPrinted>
  <dcterms:created xsi:type="dcterms:W3CDTF">2019-01-09T09:06:00Z</dcterms:created>
  <dcterms:modified xsi:type="dcterms:W3CDTF">2019-01-09T09:06:00Z</dcterms:modified>
</cp:coreProperties>
</file>