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Пшембаева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М.К.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Казахстан различными государственными органами и институтами развития отечественному бизнесу оказывается широкий спектр государственной поддержки – всего более 100 инструментов на республиканском и региональном уровнях.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двух пятилеток индустриализации показывает, что при оказании государственной поддержки не осуществляется координация – отсутствует единое видение и согласованность действий.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 свою очередь снижает эффективность использования государственных средств по повышению конкурентоспособности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сектора, то есть, обрабатывающей промышленности, как главного приоритета индустриальной политики.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положительных примеров решения вышеуказанной глобальной задачи является опыт Фонда развития промышленности Российской Федерации, который финансирует обрабатывающую промышленность по ставке не превышающей 1-4%. Необходимо отметить, что подобные Фонды есть также в таких странах как Китай, Южная Корея, Саудовская Аравия, Германия, Япония.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Казахстане ключевым национальным институтом в области государственной поддержки обрабатывающей промышленности является АО «Байтерек», деятельность которого требует пересмотра с учетом имеющихся системных вопросов по его эффективности.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аудита финансовой отчетности Холдинга Байтерек за 2017 год, 78% или 4/5 от общего объема кредитного портфеля (2,2 трлн. тенге) приходится на добывающий и нефтегазовый сектора, а также ипотечные займы. При этом, доля обрабатывающего сектора составила всего 6,6% (147,2 млрд. тенге).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создавался прежде всего для финансирования обрабатывающей промышленности.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сегодня, горнодобывающая промышленность имеет возможность заимствования за счет внешних финансовых источников по более выгодным условиям, что также подтверждается стоимостью кредитных ресурсов на внутреннем рынке.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Национального банка РК, в среднем за 2015-2018 годы процентная ставка по кредитам для горнодобывающей промышленности составила 9,4%, а для обрабатывающей промышленности – 13,8%.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Сохраняются диспропорции по финансированию между горнодобывающим и обрабатывающим секторами.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повысить эффективность обрабатывающей промышленности в экономике можно только путем концентрации государственных ресурсов на производственном секторе.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Обрабатывающая промышленность относится к приоритетам деятельности Холдинга Байтерек, однако, в настоящее время только 4 из 11 </w:t>
      </w:r>
      <w:r>
        <w:rPr>
          <w:rFonts w:ascii="Times New Roman" w:hAnsi="Times New Roman" w:cs="Times New Roman"/>
          <w:sz w:val="28"/>
          <w:szCs w:val="28"/>
        </w:rPr>
        <w:lastRenderedPageBreak/>
        <w:t>дочерних компаний: АО «Банк Развития Казахстана» (далее - БРК),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венчурс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Казахэкспорт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ФРП «Даму» финансируют промышленность.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отмечается дублирование функций. К примеру, между БРК-Лизинг 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КазАгроФинанс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части предмета лизинга (оборудование, специальная техника, сельхозтехника и грузовые вагоны) для АПК (производство продуктов питания, напитков).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2019 года Правительством была утверждена Дорожная Карта развития машиностроения на 2019 -2024 годы, в которой предусматривалось создание Фонда развития промышленности.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рассмотреть вопрос создания Фонда развития промышленности Республики Казахстан при Министерстве индустрии и инфраструктурного развития и ориентировать его исключительно на реализацию задач по финансированию промышленных проектов, в первую очередь, в обрабатывающей промышленности.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Мажилиса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Парламента РК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Пшембаев</w:t>
      </w:r>
    </w:p>
    <w:sectPr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2638-09B2-4B36-923F-F28D6D7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Dikhanbayev</dc:creator>
  <cp:keywords/>
  <dc:description/>
  <cp:lastModifiedBy>Бапакова Сауле</cp:lastModifiedBy>
  <cp:revision>3</cp:revision>
  <cp:lastPrinted>2019-10-15T10:33:00Z</cp:lastPrinted>
  <dcterms:created xsi:type="dcterms:W3CDTF">2019-10-16T08:25:00Z</dcterms:created>
  <dcterms:modified xsi:type="dcterms:W3CDTF">2019-10-16T08:26:00Z</dcterms:modified>
</cp:coreProperties>
</file>