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Депутатский запрос Кожахметова А.Т.</w:t>
      </w:r>
    </w:p>
    <w:p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Премьер-министру Республики Казахстан Мамину А.У.</w:t>
      </w:r>
    </w:p>
    <w:p>
      <w:pPr>
        <w:pStyle w:val="a3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a3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Уважаемый Аскар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Узакпаевич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>
      <w:pPr>
        <w:pStyle w:val="a3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На встречах с населением и местными исполнительными органами часто озвучиваются вопросы перспектив развития и комплексного подход к решению проблемных вопросов малых и моногородов.</w:t>
      </w:r>
    </w:p>
    <w:p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сегодняшний день в Казахстане насчитывается 27 моногородов и 41 малый город, численность населения которых составляет порядка 1,5 млн. человек. В них сосредоточена значительная часть промышленного потенциала Казахстана (с выраженной специализацией на одной-двух отраслях, другие отрасли, как правило, развиты незначительно).</w:t>
      </w:r>
    </w:p>
    <w:p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Программа развития моногородов на 2012-2020 годы, как самостоятельный документ, утратил силу и не действует. На ее основе и ряда других программ разработана и утверждена Программа развития регионов до 2020 года. Также вопросы развития малых и моногородов отражены в Государственной программе развития регионов на 2020 - 2025 годы. В значительной степени указанные программы опираются на механизмы и мероприятия Государственных программ поддержки и развития бизнеса «Дорожная карта бизнеса - 2025», развития продуктивной занятости и массового предпринимательства на 2017 - 2021 годы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Еңбек</w:t>
      </w:r>
      <w:proofErr w:type="spellEnd"/>
      <w:r>
        <w:rPr>
          <w:rFonts w:ascii="Times New Roman" w:hAnsi="Times New Roman" w:cs="Times New Roman"/>
          <w:sz w:val="28"/>
          <w:szCs w:val="28"/>
        </w:rPr>
        <w:t>», развития образования и науки Республики Казахстан на 2020-2024 годы, развития здравоохранения Республики Казахстан на 2020-2025 годы и других.</w:t>
      </w:r>
    </w:p>
    <w:p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результатов реализации действующих Программ свидетельствует о том, что значительная часть проблем малых и моногородов Казахстана (ликвидация аварийного и ветхого жилья, неудовлетворительное состояние инженерной и социальной инфраструктуры, стабильно высокий износ коммунальных сетей, развития рынка труда, диверсификации экономики, проблемы транспортной удаленности и плохого состояния автомобильных дорог, экологического благополучия и целого комплекса других, специфичных для моногородов, проблем) по-прежнему стоят очень остро и требуют особого внимания Правительства.</w:t>
      </w:r>
    </w:p>
    <w:p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износ электросетей и сетей водоснабжения в моногородах снижен только на 10-12%. Крайне медленно решаются проблемы ликвидации аварийного и ветхого жилья, капитального ремонта жилого фонда. Практически все реализованные экономические проекты не решают проблему диверсификации экономики моногородов в долгосрочной перспективе.</w:t>
      </w:r>
    </w:p>
    <w:p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слабость экономических стимулов, специфическая социальная и экономическая структура в малых и моногородах городах не позволяют широко использовать механизмы, эффективно показавшие себя в крупных административных центрах страны. Например, снос аварийного жилья и строительство нового за счет подрядчиков.</w:t>
      </w:r>
    </w:p>
    <w:p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Общие государственные программы не учитывают специфику таких населенных пунктов. Примером может служить приватизация предприятий коммунальной сферы в моногородах. Частные предприятия не смоги эффективно заменить коммунальные предприятия. Низкие тарифы и ограниченность рынка в </w:t>
      </w:r>
      <w:r>
        <w:rPr>
          <w:rFonts w:ascii="Times New Roman" w:hAnsi="Times New Roman"/>
          <w:sz w:val="28"/>
          <w:szCs w:val="28"/>
        </w:rPr>
        <w:lastRenderedPageBreak/>
        <w:t xml:space="preserve">моногородах не создают экономического стимула для инвесторов. Благоустройство и озеленение городов, очистка улиц сегодня осуществляется случайными победителями тендеров. Качество таких работ низкое. Возникает сложность с долгосрочным планированием. Все это вызывает обоснованные претензии жителей малых и моногородов.   </w:t>
      </w:r>
    </w:p>
    <w:p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Поэтому очень важно продолжить целенаправленную работу по созданию новых предприятий в моногородах, поддержке предпринимательства, развитию транспортной инфраструктуры, альтернативных источников энергии, улучшению окружающей среды, развитию государственно-частного партнерства. </w:t>
      </w:r>
    </w:p>
    <w:p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Отраслевая государственная программа по поддержки малых и моногородов позволила бы учесть специфику таких населённых пунктов, их потенциал и специализацию в общей экономике страны.</w:t>
      </w:r>
    </w:p>
    <w:p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вышеизложенным, уважаемый Аскар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Узакпаевич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>, учитывая важность обеспечения населения малых и моногородов необходимой инфраструктурой для качественной жизни, прошу Вас:</w:t>
      </w:r>
    </w:p>
    <w:p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анализ эффективности мер, предусмотренных для малых и моногородов и реализованных по государственным программам в период с 2012 по 2020 годы.</w:t>
      </w:r>
    </w:p>
    <w:p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Рассмотреть вопрос целесообразности разработки отраслевой программы развития малых и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моногородов с учетом их специфики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успешного международного опыта (Германия, Австралия, Япония и США).</w:t>
      </w:r>
    </w:p>
    <w:p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принятом решении прошу проинформировать в установленные законом сроки.</w:t>
      </w:r>
    </w:p>
    <w:p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Депутат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Мажилиса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А.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Кожахметов</w:t>
      </w:r>
      <w:proofErr w:type="spellEnd"/>
    </w:p>
    <w:sectPr>
      <w:pgSz w:w="11906" w:h="16838"/>
      <w:pgMar w:top="709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E90A0D"/>
    <w:multiLevelType w:val="hybridMultilevel"/>
    <w:tmpl w:val="EE3E890C"/>
    <w:lvl w:ilvl="0" w:tplc="A5CAE3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7D7090-C752-4BBD-B91A-1912AA378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Кожахметов Арман</dc:creator>
  <cp:keywords/>
  <dc:description/>
  <cp:lastModifiedBy>Бапакова Сауле</cp:lastModifiedBy>
  <cp:revision>4</cp:revision>
  <dcterms:created xsi:type="dcterms:W3CDTF">2020-12-09T06:03:00Z</dcterms:created>
  <dcterms:modified xsi:type="dcterms:W3CDTF">2020-12-09T08:02:00Z</dcterms:modified>
</cp:coreProperties>
</file>