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22"/>
      </w:tblGrid>
      <w:tr w:rsidR="00D816F6" w:rsidTr="00D816F6">
        <w:tblPrEx>
          <w:tblCellMar>
            <w:top w:w="0" w:type="dxa"/>
            <w:bottom w:w="0" w:type="dxa"/>
          </w:tblCellMar>
        </w:tblPrEx>
        <w:tc>
          <w:tcPr>
            <w:tcW w:w="9922" w:type="dxa"/>
            <w:shd w:val="clear" w:color="auto" w:fill="auto"/>
          </w:tcPr>
          <w:p w:rsidR="00D816F6" w:rsidRDefault="00D816F6" w:rsidP="00D816F6">
            <w:pPr>
              <w:spacing w:after="0" w:line="253" w:lineRule="atLeast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1775-1-3627/14-3   от: 17.05.2023</w:t>
            </w:r>
          </w:p>
          <w:p w:rsidR="00D816F6" w:rsidRPr="00D816F6" w:rsidRDefault="00D816F6" w:rsidP="00D816F6">
            <w:pPr>
              <w:spacing w:after="0" w:line="253" w:lineRule="atLeast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вх.1590/ДЗ-110  от: 17.05.2023</w:t>
            </w:r>
          </w:p>
        </w:tc>
      </w:tr>
    </w:tbl>
    <w:p w:rsidR="00F85F2A" w:rsidRDefault="00D816F6" w:rsidP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-142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470186" cy="213687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470185" cy="2136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09.5pt;height:168.3pt;" stroked="false">
                <v:path textboxrect="0,0,0,0"/>
                <v:imagedata r:id="rId12" o:title=""/>
              </v:shape>
            </w:pict>
          </mc:Fallback>
        </mc:AlternateConten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6378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Қазақстан Республикасы 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6378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Парламенті Мәжілісінің 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6378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депутаттарына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2023 жылғы 27 сәуірдегі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ДЗ-110 сауалға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2832" w:firstLine="708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Құрметті депутаттар!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2124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Қазақстан Республикасы Оқу-ағарту министрлігі (бұдан әрі – Министрлік) Психологиялық-медициналық-педагогикалық консультацияның (бұдан әрі – ПМПК) қызметіне қатысты мынаны хабарлайды.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ПМПК деректері бойынша 2022 жылы елімізде ерекше білім беру қажеттілігі б</w:t>
      </w:r>
      <w:r>
        <w:rPr>
          <w:rFonts w:ascii="Times New Roman" w:eastAsia="Times New Roman" w:hAnsi="Times New Roman" w:cs="Times New Roman"/>
          <w:color w:val="000000"/>
          <w:sz w:val="28"/>
        </w:rPr>
        <w:t>ар 188 144 бала анықталды (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2021 ж. – 175 082 бала</w:t>
      </w:r>
      <w:r>
        <w:rPr>
          <w:rFonts w:ascii="Times New Roman" w:eastAsia="Times New Roman" w:hAnsi="Times New Roman" w:cs="Times New Roman"/>
          <w:color w:val="000000"/>
          <w:sz w:val="28"/>
        </w:rPr>
        <w:t>). Заңнамалық тұрғыдан бір ПМПК ашу нормасы 60 мыңнан 50 мыңға дейін төмендетілді. Қазіргі уақытта ПМПК желісі - 93 бірлік (2022 ж. – 86 ПМПК). 2025 жылға дейін ПМПК желісін 126 бірлікке дейін кеңейту жоспар</w:t>
      </w:r>
      <w:r>
        <w:rPr>
          <w:rFonts w:ascii="Times New Roman" w:eastAsia="Times New Roman" w:hAnsi="Times New Roman" w:cs="Times New Roman"/>
          <w:color w:val="000000"/>
          <w:sz w:val="28"/>
        </w:rPr>
        <w:t>лануда (қажеттілік – 34 ПМПК).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Жалпы білім беретін мектепке қабылдау «Бастауыш,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туралы» (бұдан әр</w:t>
      </w:r>
      <w:r>
        <w:rPr>
          <w:rFonts w:ascii="Times New Roman" w:eastAsia="Times New Roman" w:hAnsi="Times New Roman" w:cs="Times New Roman"/>
          <w:color w:val="000000"/>
          <w:sz w:val="28"/>
        </w:rPr>
        <w:t>і – қабылдау қағидалары) Қазақстан Республикасы Білім және ғылым министрінің 2018 жылғы 12 қазандағы № 564 бұйрығына сәйкес жүзеге асырылады. Балаларды жалпы білім беретін мектепке қабылдау қағидаларына сәйкес олардың даярлық деңгейіне қарамастан білім бер</w:t>
      </w:r>
      <w:r>
        <w:rPr>
          <w:rFonts w:ascii="Times New Roman" w:eastAsia="Times New Roman" w:hAnsi="Times New Roman" w:cs="Times New Roman"/>
          <w:color w:val="000000"/>
          <w:sz w:val="28"/>
        </w:rPr>
        <w:t>у ұйымына қызмет көрсету аумағында тұратын білім алушылардың қолжетімділігін қамтамасыз ете отырып жүзеге асырылады (2-бөлім, 9-тармақ, 11,12).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Сондай-ақ қабылдау қағидаларына сәйкес білім алушының ата-аналары немесе  заңды өкілдері білім беру ұйымдарын бі</w:t>
      </w:r>
      <w:r>
        <w:rPr>
          <w:rFonts w:ascii="Times New Roman" w:eastAsia="Times New Roman" w:hAnsi="Times New Roman" w:cs="Times New Roman"/>
          <w:color w:val="000000"/>
          <w:sz w:val="28"/>
        </w:rPr>
        <w:t>лім алушының қалауын, жеке бейімділігі мен ерекшеліктерін ескере отырып және мектеп жарғысында белгіленген рәсім тәртібі мен қабылдау шарттарына сәйкес таңдай алады (қабылдау қағидалары, 1-тарау, 7-тармақ).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ПМПК қорытындысы ерекше қажеттіліктері бар баланы жалпы білім беретін мектепке қабылдау үшін міндетті шарт болып табылмайды. 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ПМПК қорытындысының болуы ерекше білім беру қажеттілігі бар балаларға жоғары коэффициент көзделген жан басына шаққандағы қаржыланд</w:t>
      </w:r>
      <w:r>
        <w:rPr>
          <w:rFonts w:ascii="Times New Roman" w:eastAsia="Times New Roman" w:hAnsi="Times New Roman" w:cs="Times New Roman"/>
          <w:color w:val="000000"/>
          <w:sz w:val="28"/>
        </w:rPr>
        <w:t>ыру шеңберінде қаражат бөлуге кепілдік береді.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«Мектепке дейінгі, бастауыш, негізгі орта, жалпы орта, техникалық және кәсіптік, орта білімнен кейінгі білім беру, мамандандырылған, арнаулы білім, жетім балалар мен ата-анасының қамқорлығынсыз қалған балаларғ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арналған білім беру ұйымдарында, балаларға және ересектерге қосымша білім беру ұйымдарынының үлгілік қағидаларын бекіту туралы» Қазақстан Республикасы Оқу-ағарту министрінің 2022 жылғы 31 тамыздағы №385 бұйрығына сәйкес (6-қосымша, 94-тармақ) балаларды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МПК-ға жіберу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міндетті шарт болып табылмайды және ата-аналарының (заңды өкілдерінің), білім беру, денсаулық сақтау ұйымдарының бастамасы бойынша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ата-аналарының (заңды өкілдерінің) келісімімен ғана жүзеге асырылады.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Қазақстан Республикасы Денсаулық сақтау ми</w:t>
      </w:r>
      <w:r>
        <w:rPr>
          <w:rFonts w:ascii="Times New Roman" w:eastAsia="Times New Roman" w:hAnsi="Times New Roman" w:cs="Times New Roman"/>
          <w:color w:val="000000"/>
          <w:sz w:val="28"/>
        </w:rPr>
        <w:t>нистрлігі ұсынған ақпарат бойынша ерте жастағы балалардың ауру түрлерін анықтау бағытындағы шаралар жетілдірілуде. Ерте жастағы ауруларды уақытылы диагностикалаудың маңыздылығын ескере отырып, скринингті ұйымдастыру қағидалары қайта қаралды (ҚР ДCМ-ның 202</w:t>
      </w:r>
      <w:r>
        <w:rPr>
          <w:rFonts w:ascii="Times New Roman" w:eastAsia="Times New Roman" w:hAnsi="Times New Roman" w:cs="Times New Roman"/>
          <w:color w:val="000000"/>
          <w:sz w:val="28"/>
        </w:rPr>
        <w:t>1 жылғы 28 тамыздағы № ҚР ДСМ-91 бұйрығы). Жаңа қағидада Дүниежүзілік денсаулық сақтау ұйымының ұсынымдарын ескере отырып, балалардың жүйке-психикалық даму шкалаларын өзектендіру жүзеге асырылды; баланы оқыту мәселелеріне педагогтерді уақтылы тарту үшін ме</w:t>
      </w:r>
      <w:r>
        <w:rPr>
          <w:rFonts w:ascii="Times New Roman" w:eastAsia="Times New Roman" w:hAnsi="Times New Roman" w:cs="Times New Roman"/>
          <w:color w:val="000000"/>
          <w:sz w:val="28"/>
        </w:rPr>
        <w:t>дициналық ұйымдар мен ПМПК арасындағы өзара іс-қимыл пункттері енгізілді.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Өз кезегінде, Әділет министрлігі ПМПК-ның қызметтік бағытына қатысты өзгерістер енгізу туралы тиісті нормативтік құқықтық актінің жобасын Қазақстан Республикасының заңнамасында белгі</w:t>
      </w:r>
      <w:r>
        <w:rPr>
          <w:rFonts w:ascii="Times New Roman" w:eastAsia="Times New Roman" w:hAnsi="Times New Roman" w:cs="Times New Roman"/>
          <w:color w:val="000000"/>
          <w:sz w:val="28"/>
        </w:rPr>
        <w:t>лген тәртіпте қарастыруға дайын екенін атап өтеміз.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ПМПК - бұл балаларды тексеруді және оларға кеңес беруді, білім алу үшін ерекше білім беру қажеттіліктері мен арнайы жағдайларды бағалауды, білім беру бағдарламасын анықтауды жүзеге асыратын білім беру ұйы</w:t>
      </w:r>
      <w:r>
        <w:rPr>
          <w:rFonts w:ascii="Times New Roman" w:eastAsia="Times New Roman" w:hAnsi="Times New Roman" w:cs="Times New Roman"/>
          <w:color w:val="000000"/>
          <w:sz w:val="28"/>
        </w:rPr>
        <w:t>мы (6-қосымша, 92-тармақ) болып табылады. Балаға ата-анасы таңдаған білім беру ұйымы ПМПК қорытындысында ұсынылған білім беру бағдарламасын білім берудің сапасы мен қолжетімділігін қамтамасыз етудегі арнайы жағдай ретінде ұсынуы тиіс.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Жалпы білім беретін 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ектептің ПМПК қорытындысының болмауына және/немесе ерекше білім беру қажеттілігі бар баланың білім алуына арнайы жағдайдың жасалмауына байланысты баланы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мектепке қабылдаудан бас тартуы заңсыз болып табылады.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Білім беру ұйымдарында ерекше білім беру қажетті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ліктері бар адамдардың (балалардың) білім алуы үшін арнайы жағдайлар жасау жауапкершілігі білім беру 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саласындағы жергілікті атқарушы билік органдарына бекітілген («Білім туралы» Заң, 2-тарау, 6-бап, 2-тармақ, 3) тармақша).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Министр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Ғ. Бейсембаев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А.Купаев 742332</w:t>
      </w:r>
    </w:p>
    <w:p w:rsidR="00F85F2A" w:rsidRDefault="00F85F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05"/>
        </w:tabs>
        <w:spacing w:after="0" w:line="253" w:lineRule="atLeast"/>
      </w:pPr>
      <w:r>
        <w:rPr>
          <w:color w:val="000000"/>
        </w:rPr>
        <w:tab/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05"/>
        </w:tabs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05"/>
        </w:tabs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05"/>
        </w:tabs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05"/>
        </w:tabs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05"/>
        </w:tabs>
        <w:spacing w:after="0" w:line="253" w:lineRule="atLeast"/>
      </w:pPr>
      <w:r>
        <w:rPr>
          <w:color w:val="000000"/>
        </w:rPr>
        <w:t> </w:t>
      </w:r>
    </w:p>
    <w:p w:rsidR="00F85F2A" w:rsidRDefault="00D81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05"/>
        </w:tabs>
        <w:spacing w:after="0" w:line="253" w:lineRule="atLeast"/>
      </w:pPr>
      <w:r>
        <w:rPr>
          <w:color w:val="000000"/>
        </w:rPr>
        <w:t> </w:t>
      </w:r>
    </w:p>
    <w:p w:rsidR="00F85F2A" w:rsidRDefault="00F85F2A">
      <w:pPr>
        <w:spacing w:after="0" w:line="283" w:lineRule="atLeast"/>
        <w:contextualSpacing/>
        <w:rPr>
          <w:rFonts w:ascii="Times New Roman" w:hAnsi="Times New Roman"/>
          <w:sz w:val="28"/>
          <w:szCs w:val="28"/>
        </w:rPr>
      </w:pPr>
    </w:p>
    <w:sectPr w:rsidR="00F85F2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425" w:right="850" w:bottom="822" w:left="1134" w:header="0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F2A" w:rsidRDefault="00D816F6">
      <w:pPr>
        <w:spacing w:after="0" w:line="240" w:lineRule="auto"/>
      </w:pPr>
      <w:r>
        <w:separator/>
      </w:r>
    </w:p>
  </w:endnote>
  <w:endnote w:type="continuationSeparator" w:id="0">
    <w:p w:rsidR="00F85F2A" w:rsidRDefault="00D8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Look w:val="04A0" w:firstRow="1" w:lastRow="0" w:firstColumn="1" w:lastColumn="0" w:noHBand="0" w:noVBand="1"/>
    </w:tblPr>
    <w:tblGrid>
      <w:gridCol w:w="2063"/>
      <w:gridCol w:w="7291"/>
    </w:tblGrid>
    <w:tr w:rsidR="00F85F2A">
      <w:trPr>
        <w:trHeight w:val="438"/>
      </w:trPr>
      <w:tc>
        <w:tcPr>
          <w:tcW w:w="206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F85F2A" w:rsidRDefault="00D816F6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spacing w:after="0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787400" cy="7874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1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F85F2A" w:rsidRDefault="00D816F6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spacing w:after="0"/>
          </w:pPr>
          <w:r>
            <w:rPr>
              <w:color w:val="000000"/>
            </w:rPr>
            <w:t xml:space="preserve">Издатель ЭЦП - Удостоверяющий центр Государственных органов, </w:t>
          </w:r>
          <w:r>
            <w:rPr>
              <w:color w:val="000000"/>
            </w:rPr>
            <w:t>Республика Казахстан, KZ, IIN690603302195, БЕКТАЕВИЧ</w:t>
          </w:r>
        </w:p>
      </w:tc>
    </w:tr>
  </w:tbl>
  <w:p w:rsidR="00F85F2A" w:rsidRDefault="00D816F6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53" w:lineRule="atLeast"/>
    </w:pPr>
    <w:r>
      <w:rPr>
        <w:color w:val="000000"/>
      </w:rPr>
      <w:t>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2A" w:rsidRDefault="00F85F2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F2A" w:rsidRDefault="00D816F6">
      <w:pPr>
        <w:spacing w:after="0" w:line="240" w:lineRule="auto"/>
      </w:pPr>
      <w:r>
        <w:separator/>
      </w:r>
    </w:p>
  </w:footnote>
  <w:footnote w:type="continuationSeparator" w:id="0">
    <w:p w:rsidR="00F85F2A" w:rsidRDefault="00D8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2A" w:rsidRDefault="00D816F6">
    <w:pPr>
      <w:pStyle w:val="ad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F85F2A" w:rsidRDefault="00F85F2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2A" w:rsidRDefault="00F85F2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2A"/>
    <w:rsid w:val="00D816F6"/>
    <w:rsid w:val="00F8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9BA88-50AE-4671-97CB-22BD65D8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b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Акмагамбетова Кымбат</cp:lastModifiedBy>
  <cp:revision>20</cp:revision>
  <dcterms:created xsi:type="dcterms:W3CDTF">2023-06-05T08:28:00Z</dcterms:created>
  <dcterms:modified xsi:type="dcterms:W3CDTF">2023-06-05T08:28:00Z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