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264628" w:rsidRPr="00B308D1" w:rsidP="00264628">
      <w:pPr>
        <w:spacing w:after="0" w:line="240" w:lineRule="auto"/>
        <w:ind w:left="5664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308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Қазақстан</w:t>
      </w:r>
      <w:r w:rsidRPr="00B308D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308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Республикасы</w:t>
      </w:r>
    </w:p>
    <w:p w:rsidR="00264628" w:rsidRPr="00B308D1" w:rsidP="00264628">
      <w:pPr>
        <w:spacing w:after="0" w:line="240" w:lineRule="auto"/>
        <w:ind w:left="5664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308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Парламенті</w:t>
      </w:r>
      <w:r w:rsidRPr="00B308D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308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Мәжілісінің</w:t>
      </w:r>
    </w:p>
    <w:p w:rsidR="00264628" w:rsidRPr="00B308D1" w:rsidP="00264628">
      <w:pPr>
        <w:spacing w:after="0" w:line="240" w:lineRule="auto"/>
        <w:ind w:left="5664"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308D1">
        <w:rPr>
          <w:rFonts w:ascii="Times New Roman" w:eastAsia="Calibri" w:hAnsi="Times New Roman" w:cs="Times New Roman"/>
          <w:b/>
          <w:sz w:val="28"/>
          <w:szCs w:val="28"/>
          <w:lang w:val="ru-RU"/>
        </w:rPr>
        <w:t>депутаттарына</w:t>
      </w:r>
    </w:p>
    <w:p w:rsidR="00F35386" w:rsidRPr="00B308D1" w:rsidP="00F3538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3DEE" w:rsidRPr="00B308D1" w:rsidP="00F3538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308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2024 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жылғы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19 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маусымдағы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№ </w:t>
      </w:r>
      <w:r w:rsidRPr="00B308D1" w:rsidR="00E039ED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ДС</w:t>
      </w:r>
      <w:r w:rsidRPr="00B308D1" w:rsidR="00E039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-262</w:t>
      </w:r>
      <w:r w:rsidRPr="00B308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EC3DEE" w:rsidRPr="00B308D1" w:rsidP="00871AAA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 w:bidi="en-US"/>
        </w:rPr>
      </w:pPr>
    </w:p>
    <w:p w:rsidR="00EC3DEE" w:rsidRPr="00B308D1" w:rsidP="002646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B308D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депутаттар!</w:t>
      </w:r>
    </w:p>
    <w:p w:rsidR="00264628" w:rsidRPr="00B308D1" w:rsidP="00264628">
      <w:pPr>
        <w:spacing w:after="0" w:line="240" w:lineRule="auto"/>
        <w:jc w:val="center"/>
        <w:rPr>
          <w:sz w:val="28"/>
          <w:szCs w:val="28"/>
          <w:lang w:val="kk-KZ" w:bidi="en-US"/>
        </w:rPr>
      </w:pPr>
    </w:p>
    <w:p w:rsidR="00EC3DEE" w:rsidRPr="00B308D1" w:rsidP="00871A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Жаңа Салық кодексі жобасының жаңашылдығына қатысты депутаттық сау</w:t>
      </w:r>
      <w:r w:rsidRPr="00B308D1" w:rsidR="00B63CF9">
        <w:rPr>
          <w:rFonts w:ascii="Times New Roman" w:eastAsia="Calibri" w:hAnsi="Times New Roman" w:cs="Times New Roman"/>
          <w:sz w:val="28"/>
          <w:szCs w:val="28"/>
          <w:lang w:val="kk-KZ"/>
        </w:rPr>
        <w:t>ал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ыңызды қарап, мынаны хабарлаймын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0E7284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b/>
          <w:i/>
          <w:sz w:val="28"/>
          <w:szCs w:val="28"/>
          <w:lang w:val="kk-KZ"/>
        </w:rPr>
        <w:t>Арнаулы салық режимдерін қайта қарауға қатысты</w:t>
      </w: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Жаңа Салық кодексінің жобасы шеңберінде салық жүктемесін төмендету мақсатында</w:t>
      </w:r>
      <w:r w:rsidRPr="00B308D1" w:rsidR="00B63CF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салық төлеуден жалтару және биз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несті қасақана бөлшектеуге жол бермеу тәуекелдерін азайту үшін арнайы салық режимдерін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(бұдан әрі – АСР)</w:t>
      </w:r>
      <w:r w:rsidRPr="00B308D1">
        <w:rPr>
          <w:rFonts w:ascii="Times New Roman" w:eastAsia="Times New Roman" w:hAnsi="Times New Roman" w:cs="Times New Roman"/>
          <w:sz w:val="24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реформалау көзделген</w:t>
      </w:r>
      <w:r w:rsidRPr="00B308D1" w:rsidR="00F65868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5369F9" w:rsidRPr="00B308D1" w:rsidP="005369F9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Бүгінгі таңда 1,9 миллионнан астам салық төлеуші оңайлатылған декларация негізінде АСР-ді қолданады. Режимді қолдану үшін шекті табыс – жартыжылдық үшін 24038 АЕК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(88,7 млн теңге)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, яғни жылына – 177,4 млн теңге.</w:t>
      </w:r>
    </w:p>
    <w:p w:rsidR="005369F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Бұл ретте айналым 20 мың АЕК-тен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(73,8 млн теңге)</w:t>
      </w:r>
      <w:r w:rsidRPr="00B308D1">
        <w:rPr>
          <w:rFonts w:ascii="Times New Roman" w:eastAsia="Times New Roman" w:hAnsi="Times New Roman" w:cs="Times New Roman"/>
          <w:sz w:val="24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асып кеткен кезде қосылған құн салығын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(бұдан әрі – ҚҚС)</w:t>
      </w:r>
      <w:r w:rsidRPr="00B308D1">
        <w:rPr>
          <w:rFonts w:ascii="Times New Roman" w:eastAsia="Times New Roman" w:hAnsi="Times New Roman" w:cs="Times New Roman"/>
          <w:sz w:val="24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төлеуші ретінде тіркеу бойынша міндеттеме туындайды, бұл бизнесті бөлшектеу және айналымдарды төмендету себептерінің бірі болып табылады.</w:t>
      </w:r>
    </w:p>
    <w:p w:rsidR="005369F9" w:rsidRPr="00B308D1" w:rsidP="000E7284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Өз кезегінде, 30 мыңнан астам салық төлеуші бөлшек салықтың АСР-ін қолданады.</w:t>
      </w:r>
    </w:p>
    <w:p w:rsidR="005369F9" w:rsidRPr="00B308D1" w:rsidP="000E7284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Бұл режим жылына 600 мың АЕК-тен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(2,2 млрд теңге)</w:t>
      </w:r>
      <w:r w:rsidRPr="00B308D1">
        <w:rPr>
          <w:rFonts w:ascii="Times New Roman" w:eastAsia="Times New Roman" w:hAnsi="Times New Roman" w:cs="Times New Roman"/>
          <w:sz w:val="24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аспайтын кіріс кезінде қолданылады.</w:t>
      </w:r>
    </w:p>
    <w:p w:rsidR="00F65868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Бұл ретте, 2023 жылы бөлшек салық АСР</w:t>
      </w:r>
      <w:r w:rsidRPr="00B308D1" w:rsidR="005369F9">
        <w:rPr>
          <w:rFonts w:ascii="Times New Roman" w:eastAsia="Times New Roman" w:hAnsi="Times New Roman" w:cs="Times New Roman"/>
          <w:sz w:val="28"/>
          <w:szCs w:val="28"/>
          <w:lang w:val="kk-KZ"/>
        </w:rPr>
        <w:t>-ін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қолдан</w:t>
      </w:r>
      <w:r w:rsidRPr="00B308D1" w:rsidR="005D1DEC">
        <w:rPr>
          <w:rFonts w:ascii="Times New Roman" w:eastAsia="Times New Roman" w:hAnsi="Times New Roman" w:cs="Times New Roman"/>
          <w:sz w:val="28"/>
          <w:szCs w:val="28"/>
          <w:lang w:val="kk-KZ"/>
        </w:rPr>
        <w:t>ған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салық төлеушілердің 97% </w:t>
      </w:r>
      <w:r w:rsidRPr="00B308D1" w:rsidR="005369F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-ы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500 млн теңгеге дейінгі айналымды көрсетті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C95C89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Ұқсас қ</w:t>
      </w:r>
      <w:r w:rsidRPr="00B308D1" w:rsidR="000E7284">
        <w:rPr>
          <w:rFonts w:ascii="Times New Roman" w:eastAsia="Times New Roman" w:hAnsi="Times New Roman" w:cs="Times New Roman"/>
          <w:sz w:val="28"/>
          <w:szCs w:val="28"/>
          <w:lang w:val="kk-KZ"/>
        </w:rPr>
        <w:t>олдану тәрті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птер</w:t>
      </w:r>
      <w:r w:rsidRPr="00B308D1" w:rsidR="000E7284">
        <w:rPr>
          <w:rFonts w:ascii="Times New Roman" w:eastAsia="Times New Roman" w:hAnsi="Times New Roman" w:cs="Times New Roman"/>
          <w:sz w:val="28"/>
          <w:szCs w:val="28"/>
          <w:lang w:val="kk-KZ"/>
        </w:rPr>
        <w:t>ін ескере отырып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,</w:t>
      </w:r>
      <w:r w:rsidRPr="00B308D1" w:rsidR="000E728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Салық кодексінің жобасы шеңберінде </w:t>
      </w:r>
      <w:r w:rsidRPr="00B308D1" w:rsidR="000E728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қолданыстағы жеңілдетілген декларация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АСР-ын шағын бизнеске арналған АСР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-дағы</w:t>
      </w:r>
      <w:r w:rsidRPr="00B308D1" w:rsidR="000E728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бөлшек салық режимімен біріктіру ұсынылады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765EC6" w:rsidRPr="00B308D1" w:rsidP="000E7284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Жаңа режимде жылына 500 млн теңге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 xml:space="preserve">(орта есеппен күніне 1 млн 370 мың теңге)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мөлшерінде шекті кірісті белгілеу ұсынылады, бұл оңайлатылған декларация негізіндегі АСР үшін қолданылып жүрген шектен шамамен 3 есеге артық. </w:t>
      </w: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Бұдан басқа, осы шекті мәнге жеткенге дейін ҚҚС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тан босату ұсынылады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Режимді қолдану үшін </w:t>
      </w:r>
      <w:r w:rsidRPr="00B308D1" w:rsidR="00765EC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жұмыскерлер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саны шектелмейді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(қазір жеңілдетілген декларацияда</w:t>
      </w:r>
      <w:r w:rsidRPr="00B308D1" w:rsidR="00765EC6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 xml:space="preserve"> –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30 адам, бөлшек салықта</w:t>
      </w:r>
      <w:r w:rsidRPr="00B308D1" w:rsidR="00765EC6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 xml:space="preserve"> –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200 адам)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Pr="00B308D1" w:rsidR="00765EC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765EC6" w:rsidRPr="00B308D1" w:rsidP="00765EC6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Кірістің 2 %-ы мөлшерінде салық мөлшерлемесі ұсынылады, бұл ретте жалпыға бірдей белгіленген салық салу режимін қолданатын салық төлеушілерден алынған кірістер бойынша 8 % деңгейінде мөлшерлеме ұсынылады.</w:t>
      </w:r>
    </w:p>
    <w:p w:rsidR="00765EC6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Мұндай тәсіл оңайлатылған декларацияның АСР-ін қолданатын «жалған» өнім берушілер арқылы салық салынатын кірісті төмендету жағдайларын болғызбауға мүмкіндік береді.</w:t>
      </w:r>
    </w:p>
    <w:p w:rsidR="00765EC6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2023 жылғы деректерге сәйкес оңайлатылған декларация негізінде АСР қолданатын салық төлеушілердің шамамен 13 %-ы жалпыға бірдей белгіленген салық салу режимін қолданатын салық төлеушілермен операцияларды жүзеге асырады.</w:t>
      </w:r>
    </w:p>
    <w:p w:rsidR="00B4708D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Осылайша, 1,9 млн салық төлеушілер үшін ҚҚС-тан босату және ТЖК қолдану үшін шекті сомалар ұлғаяды, сондай-ақ салық 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мөлшерлемесі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2%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-ға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дейін төмендейді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Жоғарыда айтылғандарға байланысты ұсынылған тәсілдер бизнесті бөл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шектеу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жағдайларын азайтуға және салық салынатын базаны төмендету схемаларын болдырмауға мүмкіндік береді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F35386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10"/>
          <w:szCs w:val="10"/>
          <w:lang w:val="kk-KZ"/>
        </w:rPr>
      </w:pPr>
    </w:p>
    <w:p w:rsidR="00D469A7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Ойын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бизнесі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саласына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салық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салуға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қатысты</w:t>
      </w:r>
    </w:p>
    <w:p w:rsidR="00194A11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Жаңа Салық кодексінің жобасында ойын бизнесі саласына салық салу қайта қарал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ып жатыр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871AAA" w:rsidRPr="00B308D1" w:rsidP="00871AA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Мәселен, казино, о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йын автоматтары залы және тотализатор қызметтерін көрсетуден түскен кірістер бойынша </w:t>
      </w:r>
      <w:r w:rsidRPr="00B308D1" w:rsidR="00765EC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корпоративтік табыс салығының </w:t>
      </w:r>
      <w:r w:rsidRPr="00B308D1" w:rsidR="00765EC6">
        <w:rPr>
          <w:rFonts w:ascii="Times New Roman" w:eastAsia="Times New Roman" w:hAnsi="Times New Roman" w:cs="Times New Roman"/>
          <w:sz w:val="28"/>
          <w:szCs w:val="28"/>
          <w:lang w:val="kk-KZ"/>
        </w:rPr>
        <w:br/>
      </w:r>
      <w:r w:rsidRPr="00B308D1" w:rsidR="00765EC6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 xml:space="preserve">(бұдан әрі – </w:t>
      </w:r>
      <w:r w:rsidRPr="00B308D1" w:rsidR="00D469A7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КТС</w:t>
      </w:r>
      <w:r w:rsidRPr="00B308D1" w:rsidR="00765EC6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>)</w:t>
      </w:r>
      <w:r w:rsidRPr="00B308D1" w:rsidR="00D469A7">
        <w:rPr>
          <w:rFonts w:ascii="Times New Roman" w:eastAsia="Times New Roman" w:hAnsi="Times New Roman" w:cs="Times New Roman"/>
          <w:sz w:val="24"/>
          <w:szCs w:val="28"/>
          <w:lang w:val="kk-KZ"/>
        </w:rPr>
        <w:t xml:space="preserve"> 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мөлшерлемесін 20%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дан 25%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ға дейін арттыру ұсынылады</w:t>
      </w:r>
      <w:r w:rsidRPr="00B308D1"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</w:p>
    <w:p w:rsidR="00871AAA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Бұдан басқа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, ойын үстелі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бойынша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ойын бизнесіне 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және ойын автоматтарын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салық мөлшерлемесін екі есе арттыру ұсынылады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871AAA" w:rsidRPr="00B308D1" w:rsidP="00871AAA">
      <w:pPr>
        <w:tabs>
          <w:tab w:val="left" w:pos="286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Сон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ымен қатар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букмекерлік кеңсенің және (немесе) тотализатордың қызметін жүзеге асыру кезінде салық кезеңінде алынған табысқа ойын бизнесіне салынатын салық 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мөлшерлемесін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8 пайыз мөлшерінде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белгілеу ұсынылады</w:t>
      </w:r>
      <w:r w:rsidRPr="00B308D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295BCE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2023 жылдың қорытындысы бойынша букмекерлер мен тотализаторлар бюджетке 48 млрд теңге төле</w:t>
      </w:r>
      <w:r w:rsidRPr="00B308D1" w:rsidR="00C3169A">
        <w:rPr>
          <w:rFonts w:ascii="Times New Roman" w:eastAsia="Times New Roman" w:hAnsi="Times New Roman" w:cs="Times New Roman"/>
          <w:sz w:val="28"/>
          <w:szCs w:val="28"/>
          <w:lang w:val="kk-KZ"/>
        </w:rPr>
        <w:t>генін атап өткен жөн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295BCE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Салық 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8% мөлшерінде төле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ген кезде болжамды түсімдер 85,7 млрд теңгені құрай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тын бола</w:t>
      </w:r>
      <w:r w:rsidRPr="00B308D1" w:rsidR="00D469A7">
        <w:rPr>
          <w:rFonts w:ascii="Times New Roman" w:eastAsia="Times New Roman" w:hAnsi="Times New Roman" w:cs="Times New Roman"/>
          <w:sz w:val="28"/>
          <w:szCs w:val="28"/>
          <w:lang w:val="kk-KZ"/>
        </w:rPr>
        <w:t>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765EC6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Бұл ретте, әлемдік тәжірибеге сәйкес ойын бизнесі 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мен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лотерея қызметі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нің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субъектілері үшін ҚҚС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-ты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жою ұсынылады</w:t>
      </w:r>
      <w:r w:rsidRPr="00B308D1" w:rsidR="00351032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295BCE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Ұсынылып отырған салық салу жүйесі КТС 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мөлшерлемелері мен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ойын бизнесіне салынатын салықты ұлғайту есебінен ҚҚС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-тан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босатуға байланысты шығындарды өтейді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216545" w:rsidRPr="002E0EFA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</w:pPr>
      <w:r w:rsidRPr="002E0EFA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 xml:space="preserve">Бұл тәсіл салықтық әкімшілендіруді жеңілдетеді және салық салуды тікелей және ашық етеді, сонымен қатар есептеу алгоритмін </w:t>
      </w:r>
      <w:r w:rsidRPr="002E0EFA" w:rsidR="00675162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>әр</w:t>
      </w:r>
      <w:r w:rsidRPr="002E0EFA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>түрлі түсіндір</w:t>
      </w:r>
      <w:r w:rsidRPr="002E0EFA" w:rsidR="00675162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>уді</w:t>
      </w:r>
      <w:r w:rsidRPr="002E0EFA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 xml:space="preserve"> болдырмайды</w:t>
      </w:r>
      <w:r w:rsidRPr="002E0EFA" w:rsidR="00C92F9F">
        <w:rPr>
          <w:rFonts w:ascii="Times New Roman" w:eastAsia="Times New Roman" w:hAnsi="Times New Roman" w:cs="Times New Roman"/>
          <w:spacing w:val="-6"/>
          <w:sz w:val="28"/>
          <w:szCs w:val="28"/>
          <w:lang w:val="kk-KZ"/>
        </w:rPr>
        <w:t>.</w:t>
      </w:r>
    </w:p>
    <w:p w:rsidR="00936647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Осылайша, ойын бизнесіне жүктемені ұлғайту есебінен бюджетке қосымша кірістер түседі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F35386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10"/>
          <w:szCs w:val="10"/>
          <w:lang w:val="kk-KZ"/>
        </w:rPr>
      </w:pPr>
    </w:p>
    <w:p w:rsidR="00D469A7" w:rsidRPr="00B308D1" w:rsidP="00296EDC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  <w:t>Еңбекақы төлеу қорына жүктемеге қатысты</w:t>
      </w:r>
    </w:p>
    <w:p w:rsidR="00296EDC" w:rsidRPr="00B308D1" w:rsidP="00296EDC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Өздеріңіз білетіндей, 2023 жылғы 1 қаңтардан бастап микро және шағын бизнес үшін бірыңғай төлем енгізілді. Бұл тетік жаңа Салық кодексінің жобасында сақтал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>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 Ағымдағы жылғы мөлшерлеме 21,5</w:t>
      </w:r>
      <w:r w:rsidRPr="00B308D1" w:rsidR="008E245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%</w:t>
      </w:r>
      <w:r w:rsidRPr="00B308D1" w:rsidR="008E2455">
        <w:rPr>
          <w:rFonts w:ascii="Times New Roman" w:eastAsia="Times New Roman" w:hAnsi="Times New Roman" w:cs="Times New Roman"/>
          <w:sz w:val="28"/>
          <w:szCs w:val="28"/>
          <w:lang w:val="kk-KZ"/>
        </w:rPr>
        <w:t>-ы құрайды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Pr="00B308D1" w:rsidR="00FF0FD1">
        <w:rPr>
          <w:rFonts w:ascii="Times New Roman" w:eastAsia="Times New Roman" w:hAnsi="Times New Roman" w:cs="Times New Roman"/>
          <w:sz w:val="28"/>
          <w:szCs w:val="28"/>
          <w:lang w:val="kk-KZ"/>
        </w:rPr>
        <w:t>Салалық мемлекеттік органдар осы тетікті қолдануды жеңілдету бойынша жұмыс жүргізуде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397B" w:rsidRPr="00B308D1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Бірыңғай төлем тек жеке табыс салығы </w:t>
      </w:r>
      <w:r w:rsidRPr="00B308D1">
        <w:rPr>
          <w:rFonts w:ascii="Times New Roman" w:eastAsia="Times New Roman" w:hAnsi="Times New Roman" w:cs="Times New Roman"/>
          <w:i/>
          <w:sz w:val="24"/>
          <w:szCs w:val="28"/>
          <w:lang w:val="kk-KZ"/>
        </w:rPr>
        <w:t xml:space="preserve">(бұдан әрі – ЖТС)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бойынша жүктемені азайтуды көздейтінін атап өту қажет</w:t>
      </w:r>
      <w:r w:rsidRPr="00B308D1" w:rsidR="0076342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66397B" w:rsidRPr="00B308D1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Бұған қоса, жаңа Салық кодексінің жобасында стандартты шегерім мөлшерін 14 АЕК-тен 30 АЕК-ке дейін ұлғайту арқылы барлық жұмыс істейтін азаматтар үшін жүктемені азайту ұсынылады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397B" w:rsidRPr="00B308D1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Бұл ретте 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шегерімдерді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азаматтардың әлеуметтік осал санаттары үшін және міндетті зейнетақы жарналары бойынша ғана сақтау ұсынылады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Pr="00B308D1" w:rsidR="0067516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296EDC" w:rsidRPr="00B308D1" w:rsidP="00296EDC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Әлеуметтік төлемдердің мөлшері болашақ төлемдерге әсер ететінін ескере отырып, олар бойынша жүктеме өзгеріссіз қалды</w:t>
      </w:r>
      <w:r w:rsidRPr="00B308D1" w:rsidR="0076342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66397B" w:rsidRPr="00B308D1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Зейнетақы жарналарының төмен мөлшерлемелері азаматтарға зейнеткерлікке шыққан кезде лайықты өмір сүру үшін жеткілікті зейнетақы жинақтарын қалыптастыруға мүмкіндік бермейді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. </w:t>
      </w:r>
    </w:p>
    <w:p w:rsidR="00FF0FD1" w:rsidRPr="00B308D1" w:rsidP="00FF0FD1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Жинақтаушы зейнетақы жүйесіне міндетті зейнетақы жарналары</w:t>
      </w:r>
      <w:r w:rsidRPr="00B308D1" w:rsidR="00675162">
        <w:rPr>
          <w:rFonts w:ascii="Times New Roman" w:eastAsia="Calibri" w:hAnsi="Times New Roman" w:cs="Times New Roman"/>
          <w:sz w:val="28"/>
          <w:szCs w:val="28"/>
          <w:lang w:val="kk-KZ"/>
        </w:rPr>
        <w:t>ның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(10</w:t>
      </w:r>
      <w:r w:rsidRPr="00B308D1" w:rsidR="008E245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%), жұмыс берушінің міндетті зейнетақы жарн</w:t>
      </w:r>
      <w:r w:rsidRPr="00B308D1" w:rsidR="00675162">
        <w:rPr>
          <w:rFonts w:ascii="Times New Roman" w:eastAsia="Calibri" w:hAnsi="Times New Roman" w:cs="Times New Roman"/>
          <w:sz w:val="28"/>
          <w:szCs w:val="28"/>
          <w:lang w:val="kk-KZ"/>
        </w:rPr>
        <w:t>а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ларының (ағымдағы 1,5</w:t>
      </w:r>
      <w:r w:rsidRPr="00B308D1" w:rsidR="008E245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%) ағымдағы мөлшерлемелері дамыған елдердегі және зейнетақымен қамсыздандыру </w:t>
      </w:r>
      <w:r w:rsidRPr="00B308D1" w:rsidR="0067516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жүйелері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озық елдердегі зейнетақы жарналарының мөлшерлемелерімен салыстырғанда жоғары емес. </w:t>
      </w:r>
      <w:r w:rsidRPr="00B308D1" w:rsidR="008E2455">
        <w:rPr>
          <w:rFonts w:ascii="Times New Roman" w:eastAsia="Calibri" w:hAnsi="Times New Roman" w:cs="Times New Roman"/>
          <w:sz w:val="28"/>
          <w:szCs w:val="28"/>
          <w:lang w:val="kk-KZ"/>
        </w:rPr>
        <w:t>Экономикалық ынтымақтастық және даму ұйымына мүше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елдерінің зейнетақы жарналарының орташа мөлшерлемесі 18,0</w:t>
      </w:r>
      <w:r w:rsidRPr="00B308D1" w:rsidR="008E245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%. Жинақтаушы зейнетақы жүйелері басым елдерде: кіріс деңгейіне байланысты Сингапурде 37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Малайзияда 23-24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Австралияда – 13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Мексикада – 15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%. </w:t>
      </w:r>
      <w:r w:rsidRPr="00B308D1" w:rsidR="00B308D1">
        <w:rPr>
          <w:rFonts w:ascii="Times New Roman" w:eastAsia="Calibri" w:hAnsi="Times New Roman" w:cs="Times New Roman"/>
          <w:sz w:val="28"/>
          <w:szCs w:val="28"/>
          <w:lang w:val="kk-KZ"/>
        </w:rPr>
        <w:t>Шартты жинақтаушы шот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үлгісі бойынша зейнетақы жүйелері бар елдерде: Швецияда – 16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Бразилияда – 31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Италияда – 33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%. Сақтандыру жүйелері бар елдерде жарна мөлшерлемесі жоғары: Ресейде – 21,84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Германияда – 18,6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%, Францияда – 27,8</w:t>
      </w:r>
      <w:r w:rsidRPr="00B308D1" w:rsidR="000219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%.</w:t>
      </w:r>
    </w:p>
    <w:p w:rsidR="0066397B" w:rsidRPr="00B308D1" w:rsidP="00FF0FD1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Әлеуметтік аударымдарды жұмыс берушілер өз қаражаты есебінен төлейді және олар төленген кезде жұмыскерлердің «қолына» берілетін жалақы мөлшері азаймайды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397B" w:rsidRPr="00B308D1" w:rsidP="00FF0FD1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Халықаралық тәжірибеде әлеуметтік сақтандыру жарналары салық жүктемесі деп танылмайды, ол әлеуметтік тәуекелдер туындаған жағдайда халыққа әлеуметтік төлемдер түрінде қайтарылатын кейінге қалдырылған жалақы болып саналады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397B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</w:pPr>
      <w:r w:rsidRPr="00B308D1"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  <w:t xml:space="preserve">Осыған байланысты, жұмыс берушілер үшін әлеуметтік төлемдер түріндегі </w:t>
      </w:r>
      <w:r w:rsidRPr="00B308D1" w:rsidR="000219D7"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  <w:t xml:space="preserve">еңбекақы төлеу қорына </w:t>
      </w:r>
      <w:r w:rsidRPr="00B308D1"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  <w:t>тікелей жүктеме қолайлы деңгейде деп санаймыз. Осы көрсеткіш бойынша Қазақстан басқа елдердің әлеуметтік төлемдерінің тиісті деңгейінен едәуір төмен</w:t>
      </w:r>
      <w:r w:rsidRPr="00B308D1"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  <w:t>.</w:t>
      </w:r>
      <w:r w:rsidRPr="00B308D1" w:rsidR="000219D7"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2E0EFA" w:rsidRPr="00B308D1" w:rsidP="0066397B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kk-KZ" w:eastAsia="ru-RU"/>
        </w:rPr>
      </w:pPr>
    </w:p>
    <w:p w:rsidR="0076342B" w:rsidRPr="00B308D1" w:rsidP="0076342B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Осылайша, төмен жалақы алатын барлық жалдамалы жұмысшылардың жартысына жуығы табыс салығынан босатыла</w:t>
      </w:r>
      <w:r w:rsidRPr="00B308D1" w:rsidR="006932E3">
        <w:rPr>
          <w:rFonts w:ascii="Times New Roman" w:eastAsia="Times New Roman" w:hAnsi="Times New Roman" w:cs="Times New Roman"/>
          <w:sz w:val="28"/>
          <w:szCs w:val="28"/>
          <w:lang w:val="kk-KZ"/>
        </w:rPr>
        <w:t>тын бола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ды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76342B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Бұдан басқа</w:t>
      </w:r>
      <w:r w:rsidRPr="00B308D1" w:rsidR="00FF0FD1">
        <w:rPr>
          <w:rFonts w:ascii="Times New Roman" w:eastAsia="Calibri" w:hAnsi="Times New Roman" w:cs="Times New Roman"/>
          <w:sz w:val="28"/>
          <w:szCs w:val="28"/>
          <w:lang w:val="kk-KZ"/>
        </w:rPr>
        <w:t>, әлеуметтік төлемдерді төлеу, есепке алу және пайдалану рәсімдері заңнамамен реттелгенін және бақылауда екенін атап өтеміз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9F7042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Мәселен</w:t>
      </w:r>
      <w:r w:rsidRPr="00B308D1" w:rsidR="00FF0FD1">
        <w:rPr>
          <w:rFonts w:ascii="Times New Roman" w:eastAsia="Calibri" w:hAnsi="Times New Roman" w:cs="Times New Roman"/>
          <w:sz w:val="28"/>
          <w:szCs w:val="28"/>
          <w:lang w:val="kk-KZ"/>
        </w:rPr>
        <w:t>, қызметкерлер мен жұмыс берушілер жинақтаушы зейнетақы жүйесіне жүзеге асыратын міндетті жарналар, оларды есепке алу, басқару және төлеу айқын және бақыланады</w:t>
      </w:r>
      <w:r w:rsidRPr="00B308D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FF0FD1" w:rsidRPr="00B308D1" w:rsidP="00871A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«Мемлекеттік әлеуметтік сақтандыру қоры» АҚ </w:t>
      </w:r>
      <w:r w:rsidRPr="00B308D1">
        <w:rPr>
          <w:rFonts w:ascii="Times New Roman" w:eastAsia="Calibri" w:hAnsi="Times New Roman" w:cs="Times New Roman"/>
          <w:i/>
          <w:sz w:val="24"/>
          <w:szCs w:val="28"/>
          <w:lang w:val="kk-KZ"/>
        </w:rPr>
        <w:t>(бұдан әрі – Қор)</w:t>
      </w:r>
      <w:r w:rsidRPr="00B308D1" w:rsidR="00AD1705">
        <w:rPr>
          <w:rFonts w:ascii="Times New Roman" w:eastAsia="Calibri" w:hAnsi="Times New Roman" w:cs="Times New Roman"/>
          <w:sz w:val="24"/>
          <w:szCs w:val="28"/>
          <w:lang w:val="kk-KZ"/>
        </w:rPr>
        <w:t xml:space="preserve">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активтерінің тек нысаналы мақсаты болады және әлеуметтік тәуекелдер туындаған кезде әлеуметтік төлемдерді жүзеге асыру үшін пайдаланылады.</w:t>
      </w:r>
    </w:p>
    <w:p w:rsidR="00AD1705" w:rsidRPr="00B308D1" w:rsidP="00871A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Қазіргі уақытта 7 миллионға жуық адам міндетті әлеуметтік сақтандыру жүйесінің қатысушылары болып табылады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. 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Жыл сайын 1 миллионнан астам адам Қордан әлеуметтік төлемдер алады. 2005 жылдан бері барлығы 3,9 трлн теңге төленді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AD1705" w:rsidRPr="00B308D1" w:rsidP="00871A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Қордың жылдық қаржылық есептілігінің аудитін аудит жүргізуге құқығы бар тәуелсіз аудиторлық ұйымдар жүргізеді. Аудиторлық есеп коммерциялық құпия болып табылмайды және жыл сайын Қордың интернет-ресурсында жарияланады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AD1705" w:rsidRPr="00B308D1" w:rsidP="007729E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Қазақстан Республикасының Бюджет кодексіне сәйкес Қордың түсімдері мен шығындары шоғырландырылған бюджет</w:t>
      </w:r>
      <w:r w:rsidRPr="00B308D1" w:rsidR="006932E3">
        <w:rPr>
          <w:rFonts w:ascii="Times New Roman" w:eastAsia="Calibri" w:hAnsi="Times New Roman" w:cs="Times New Roman"/>
          <w:sz w:val="28"/>
          <w:szCs w:val="28"/>
          <w:lang w:val="kk-KZ"/>
        </w:rPr>
        <w:t>тің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құрамында көрсетіледі</w:t>
      </w: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. </w:t>
      </w:r>
    </w:p>
    <w:p w:rsidR="007729EE" w:rsidRPr="00B308D1" w:rsidP="007729EE">
      <w:pPr>
        <w:widowControl w:val="0"/>
        <w:spacing w:after="0" w:line="240" w:lineRule="auto"/>
        <w:ind w:right="-1"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B308D1">
        <w:rPr>
          <w:rFonts w:ascii="Times New Roman" w:eastAsia="Calibri" w:hAnsi="Times New Roman" w:cs="Times New Roman"/>
          <w:sz w:val="28"/>
          <w:szCs w:val="28"/>
          <w:lang w:val="kk-KZ"/>
        </w:rPr>
        <w:t>Осылайша, жоғарыда аталған құралдар Қордың қызметі туралы ақпараттың қолжетімділігін, жариялылығын және ашықтығын қамтамасыз етеді.</w:t>
      </w:r>
    </w:p>
    <w:p w:rsidR="00B24F5F" w:rsidRPr="00B308D1" w:rsidP="007729EE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Зейнетақы жинақтарының сақталуын қамтамасыз ету және оларды инвестициялаудан кірістілік деңгейін арттыру мақсатында 2014 жылдан бастап зейнетақы активте</w:t>
      </w:r>
      <w:r w:rsidRPr="00B308D1" w:rsidR="006932E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рін сенімгерлік басқару Ұлттық </w:t>
      </w:r>
      <w:r w:rsidRPr="00B308D1" w:rsidR="000219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Банкке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берілді</w:t>
      </w:r>
      <w:r w:rsidRPr="00B308D1" w:rsidR="002979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:rsidR="00B24F5F" w:rsidRPr="00B308D1" w:rsidP="007729EE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Зейнетақы активтерін басқару </w:t>
      </w:r>
      <w:r w:rsidRPr="002D0E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cтратегиясын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Қазақстан Республикасының Президенті басқаратын Қазақстан Республикасының Ұлттық қорын басқару жөніндегі кеңес айқындайды</w:t>
      </w:r>
      <w:r w:rsidRPr="00B308D1" w:rsidR="002979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:rsidR="00B24F5F" w:rsidRPr="00B308D1" w:rsidP="007729EE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Зейнетақы активтерін инвестициялауды Ұлттық </w:t>
      </w:r>
      <w:r w:rsidRPr="00B308D1" w:rsidR="000219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Банк Бірыңғай жинақтаушы зейнетақы қорының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B308D1" w:rsidR="000219D7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(бұдан әрі – БЖЗҚ)</w:t>
      </w:r>
      <w:r w:rsidRPr="00B308D1" w:rsidR="000219D7">
        <w:rPr>
          <w:rFonts w:ascii="Times New Roman" w:eastAsia="Times New Roman" w:hAnsi="Times New Roman" w:cs="Times New Roman"/>
          <w:sz w:val="24"/>
          <w:szCs w:val="28"/>
          <w:lang w:val="kk-KZ" w:eastAsia="ru-RU"/>
        </w:rPr>
        <w:t xml:space="preserve"> 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инвестициялық декларациясында белгіленген шарттар мен шектеулерге сәйкес жүзеге асырады</w:t>
      </w:r>
      <w:r w:rsidRPr="00B308D1" w:rsidR="002979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297923" w:rsidRPr="00B308D1" w:rsidP="007729EE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Бұдан басқа</w:t>
      </w:r>
      <w:r w:rsidRPr="00B308D1" w:rsidR="007729E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БЖЗҚ-ның инвестициялық қызметінің нәтижелеріне қарамастан, мемлекет алушыларға БЖЗҚ-ға міндетті зейнетақы жарналарының нақты енгізілген міндетті зейнетақы жарналары мөлшерінде, адамдардың жалпыға бірдей белгіленген зейнетақы жасына жеткен сәтіндегі инфляция деңгейі ескер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</w:t>
      </w:r>
      <w:r w:rsidRPr="00B308D1" w:rsidR="007729E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 отырып </w:t>
      </w:r>
      <w:r w:rsidRPr="00B308D1" w:rsidR="001967A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сақталатынына</w:t>
      </w:r>
      <w:r w:rsidRPr="00B308D1" w:rsidR="007729E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кепілдік береді</w:t>
      </w:r>
      <w:r w:rsidRPr="00B308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</w:p>
    <w:p w:rsidR="00C95C89" w:rsidRPr="00B308D1" w:rsidP="00871AAA">
      <w:pPr>
        <w:widowControl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</w:p>
    <w:p w:rsidR="00EC3DEE" w:rsidRPr="00B308D1" w:rsidP="00B308D1">
      <w:pPr>
        <w:widowControl w:val="0"/>
        <w:spacing w:after="0" w:line="240" w:lineRule="auto"/>
        <w:ind w:right="-1" w:firstLine="708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308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Н. Байбазаро</w:t>
      </w:r>
      <w:r w:rsidRPr="00B308D1" w:rsidR="004122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в</w:t>
      </w:r>
    </w:p>
    <w:sectPr w:rsidSect="002D0E21">
      <w:headerReference w:type="default" r:id="rId4"/>
      <w:headerReference w:type="first" r:id="rId5"/>
      <w:pgSz w:w="12240" w:h="15840"/>
      <w:pgMar w:top="567" w:right="851" w:bottom="1244" w:left="1418" w:header="42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9624981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883E2B" w:rsidRPr="00883E2B">
        <w:pPr>
          <w:pStyle w:val="Header"/>
          <w:jc w:val="center"/>
          <w:rPr>
            <w:rFonts w:ascii="Times New Roman" w:hAnsi="Times New Roman" w:cs="Times New Roman"/>
            <w:sz w:val="24"/>
          </w:rPr>
        </w:pPr>
        <w:r w:rsidRPr="00883E2B">
          <w:rPr>
            <w:rFonts w:ascii="Times New Roman" w:hAnsi="Times New Roman" w:cs="Times New Roman"/>
            <w:sz w:val="24"/>
          </w:rPr>
          <w:fldChar w:fldCharType="begin"/>
        </w:r>
        <w:r w:rsidRPr="00883E2B">
          <w:rPr>
            <w:rFonts w:ascii="Times New Roman" w:hAnsi="Times New Roman" w:cs="Times New Roman"/>
            <w:sz w:val="24"/>
          </w:rPr>
          <w:instrText>PAGE   \* MERGEFORMAT</w:instrText>
        </w:r>
        <w:r w:rsidRPr="00883E2B">
          <w:rPr>
            <w:rFonts w:ascii="Times New Roman" w:hAnsi="Times New Roman" w:cs="Times New Roman"/>
            <w:sz w:val="24"/>
          </w:rPr>
          <w:fldChar w:fldCharType="separate"/>
        </w:r>
        <w:r w:rsidRPr="002D0E21" w:rsidR="002D0E21">
          <w:rPr>
            <w:rFonts w:ascii="Times New Roman" w:hAnsi="Times New Roman" w:cs="Times New Roman"/>
            <w:noProof/>
            <w:sz w:val="24"/>
            <w:lang w:val="ru-RU"/>
          </w:rPr>
          <w:t>5</w:t>
        </w:r>
        <w:r w:rsidRPr="00883E2B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883E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E21">
    <w:pPr>
      <w:pStyle w:val="Header"/>
    </w:pPr>
    <w:r>
      <w:rPr>
        <w:noProof/>
        <w:lang w:eastAsia="ru-RU"/>
      </w:rPr>
      <w:drawing>
        <wp:inline distT="0" distB="0" distL="0" distR="0">
          <wp:extent cx="6331585" cy="1852920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331585" cy="185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9887E02"/>
    <w:multiLevelType w:val="hybridMultilevel"/>
    <w:tmpl w:val="D9CAC71E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80041B"/>
    <w:multiLevelType w:val="hybridMultilevel"/>
    <w:tmpl w:val="9DF41C5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3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C3DEE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EC3DEE"/>
  </w:style>
  <w:style w:type="paragraph" w:styleId="ListParagraph">
    <w:name w:val="List Paragraph"/>
    <w:basedOn w:val="Normal"/>
    <w:uiPriority w:val="34"/>
    <w:qFormat/>
    <w:rsid w:val="00EC3DEE"/>
    <w:pPr>
      <w:ind w:left="720"/>
      <w:contextualSpacing/>
    </w:pPr>
    <w:rPr>
      <w:lang w:val="ru-RU"/>
    </w:rPr>
  </w:style>
  <w:style w:type="paragraph" w:styleId="BalloonText">
    <w:name w:val="Balloon Text"/>
    <w:basedOn w:val="Normal"/>
    <w:link w:val="a0"/>
    <w:uiPriority w:val="99"/>
    <w:semiHidden/>
    <w:unhideWhenUsed/>
    <w:rsid w:val="00B37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0">
    <w:name w:val="Текст выноски Знак"/>
    <w:basedOn w:val="DefaultParagraphFont"/>
    <w:link w:val="BalloonText"/>
    <w:uiPriority w:val="99"/>
    <w:semiHidden/>
    <w:rsid w:val="00B37640"/>
    <w:rPr>
      <w:rFonts w:ascii="Segoe UI" w:hAnsi="Segoe UI" w:cs="Segoe UI"/>
      <w:sz w:val="18"/>
      <w:szCs w:val="18"/>
    </w:rPr>
  </w:style>
  <w:style w:type="paragraph" w:customStyle="1" w:styleId="docdata">
    <w:name w:val="docdata"/>
    <w:aliases w:val="15991,bqiaagaaeyqcaaagiaiaaamxpaaabt88aaaaaaaaaaaaaaaaaaaaaaaaaaaaaaaaaaaaaaaaaaaaaaaaaaaaaaaaaaaaaaaaaaaaaaaaaaaaaaaaaaaaaaaaaaaaaaaaaaaaaaaaaaaaaaaaaaaaaaaaaaaaaaaaaaaaaaaaaaaaaaaaaaaaaaaaaaaaaaaaaaaaaaaaaaaaaaaaaaaaaaaaaaaaaaaaaaaaaaa,docy,v5"/>
    <w:basedOn w:val="Normal"/>
    <w:rsid w:val="00212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NormalWeb">
    <w:name w:val="Normal (Web)"/>
    <w:basedOn w:val="Normal"/>
    <w:uiPriority w:val="99"/>
    <w:semiHidden/>
    <w:unhideWhenUsed/>
    <w:rsid w:val="00212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Footer">
    <w:name w:val="footer"/>
    <w:basedOn w:val="Normal"/>
    <w:link w:val="a1"/>
    <w:uiPriority w:val="99"/>
    <w:unhideWhenUsed/>
    <w:rsid w:val="00B308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B30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8832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