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ED30BD" w:rsidP="00ED4F26">
      <w:pPr>
        <w:spacing w:after="0"/>
        <w:jc w:val="both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  <w:r>
        <w:rPr>
          <w:noProof/>
          <w:lang w:val="en-US"/>
        </w:rPr>
        <w:drawing>
          <wp:inline distT="0" distB="0" distL="0" distR="0">
            <wp:extent cx="5937885" cy="1945005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66C1" w:rsidP="00ED4F26">
      <w:pPr>
        <w:ind w:left="5670" w:hanging="5670"/>
        <w:rPr>
          <w:rFonts w:ascii="Times New Roman" w:hAnsi="Times New Roman"/>
          <w:bCs/>
          <w:i/>
          <w:sz w:val="24"/>
          <w:szCs w:val="24"/>
        </w:rPr>
      </w:pPr>
    </w:p>
    <w:p w:rsidR="00ED4F26" w:rsidRPr="002527FB" w:rsidP="00ED4F26">
      <w:pPr>
        <w:ind w:left="5670" w:hanging="5670"/>
        <w:rPr>
          <w:rFonts w:ascii="Times New Roman" w:hAnsi="Times New Roman"/>
          <w:bCs/>
          <w:i/>
          <w:sz w:val="24"/>
          <w:szCs w:val="24"/>
        </w:rPr>
      </w:pPr>
      <w:r w:rsidRPr="002527FB">
        <w:rPr>
          <w:rFonts w:ascii="Times New Roman" w:hAnsi="Times New Roman"/>
          <w:bCs/>
          <w:i/>
          <w:sz w:val="24"/>
          <w:szCs w:val="24"/>
        </w:rPr>
        <w:t xml:space="preserve">Оглашен </w:t>
      </w:r>
      <w:r w:rsidR="00FC4D67">
        <w:rPr>
          <w:rFonts w:ascii="Times New Roman" w:hAnsi="Times New Roman"/>
          <w:bCs/>
          <w:i/>
          <w:sz w:val="24"/>
          <w:szCs w:val="24"/>
        </w:rPr>
        <w:t>19</w:t>
      </w:r>
      <w:r w:rsidRPr="003A3B04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FC4D67">
        <w:rPr>
          <w:rFonts w:ascii="Times New Roman" w:hAnsi="Times New Roman"/>
          <w:bCs/>
          <w:i/>
          <w:sz w:val="24"/>
          <w:szCs w:val="24"/>
        </w:rPr>
        <w:t>июня</w:t>
      </w:r>
      <w:r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2527FB">
        <w:rPr>
          <w:rFonts w:ascii="Times New Roman" w:hAnsi="Times New Roman"/>
          <w:bCs/>
          <w:i/>
          <w:sz w:val="24"/>
          <w:szCs w:val="24"/>
        </w:rPr>
        <w:t>202</w:t>
      </w:r>
      <w:r>
        <w:rPr>
          <w:rFonts w:ascii="Times New Roman" w:hAnsi="Times New Roman"/>
          <w:bCs/>
          <w:i/>
          <w:sz w:val="24"/>
          <w:szCs w:val="24"/>
        </w:rPr>
        <w:t>4</w:t>
      </w:r>
      <w:r w:rsidRPr="002527FB">
        <w:rPr>
          <w:rFonts w:ascii="Times New Roman" w:hAnsi="Times New Roman"/>
          <w:bCs/>
          <w:i/>
          <w:sz w:val="24"/>
          <w:szCs w:val="24"/>
        </w:rPr>
        <w:t xml:space="preserve"> года</w:t>
      </w:r>
    </w:p>
    <w:p w:rsidR="002E3642" w:rsidP="002E3642">
      <w:pPr>
        <w:spacing w:after="0" w:line="240" w:lineRule="auto"/>
        <w:ind w:left="6663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  <w:r w:rsidRPr="002E3642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 xml:space="preserve">Премьер-Министру </w:t>
      </w:r>
    </w:p>
    <w:p w:rsidR="002E3642" w:rsidP="002E3642">
      <w:pPr>
        <w:spacing w:after="0" w:line="240" w:lineRule="auto"/>
        <w:ind w:left="6663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  <w:r w:rsidRPr="002E3642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 xml:space="preserve">Республики Казахстан </w:t>
      </w:r>
    </w:p>
    <w:p w:rsidR="002E3642" w:rsidRPr="002E3642" w:rsidP="002E3642">
      <w:pPr>
        <w:spacing w:after="0" w:line="240" w:lineRule="auto"/>
        <w:ind w:left="6663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  <w:r w:rsidRPr="002E3642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>Бектенову О.А.</w:t>
      </w:r>
    </w:p>
    <w:p w:rsidR="009966C1" w:rsidP="00FC4D6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</w:p>
    <w:p w:rsidR="009966C1" w:rsidP="00FC4D6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</w:p>
    <w:p w:rsidR="00FC4D67" w:rsidRPr="00FC4D67" w:rsidP="00FC4D6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  <w:r w:rsidRPr="00FC4D67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>Депутатский запрос</w:t>
      </w:r>
    </w:p>
    <w:p w:rsidR="002E3642" w:rsidRPr="00FC4D67" w:rsidP="002E3642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:rsidR="002E3642" w:rsidRPr="002E3642" w:rsidP="00564EA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  <w:r w:rsidRPr="002E3642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>Уважаемый Олжас Абаевич!</w:t>
      </w:r>
    </w:p>
    <w:p w:rsidR="002E3642" w:rsidRPr="002E3642" w:rsidP="002E3642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В последнее время </w:t>
      </w:r>
      <w:r w:rsidRPr="009966C1">
        <w:rPr>
          <w:rFonts w:ascii="Times New Roman" w:hAnsi="Times New Roman"/>
          <w:b/>
          <w:sz w:val="28"/>
          <w:szCs w:val="28"/>
        </w:rPr>
        <w:t>участились жалобы участников внешнеэкономической деятельности на неправомерные доначисления таможенных платежей.</w:t>
      </w:r>
      <w:r w:rsidRPr="009966C1">
        <w:rPr>
          <w:rFonts w:ascii="Times New Roman" w:hAnsi="Times New Roman"/>
          <w:sz w:val="28"/>
          <w:szCs w:val="28"/>
        </w:rPr>
        <w:t xml:space="preserve"> При этом, Комитет государственных доходов Министерства финансов (далее - КГД) обосновывает эту практику автоматизацией системы контроля управления рисками (далее – СКУР).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Вместе с тем, известно, что при создании профилей риска необходимо придерживаться </w:t>
      </w:r>
      <w:r w:rsidRPr="009966C1">
        <w:rPr>
          <w:rFonts w:ascii="Times New Roman" w:hAnsi="Times New Roman"/>
          <w:b/>
          <w:sz w:val="28"/>
          <w:szCs w:val="28"/>
        </w:rPr>
        <w:t>принципа выборочности,</w:t>
      </w:r>
      <w:r w:rsidRPr="009966C1">
        <w:rPr>
          <w:rFonts w:ascii="Times New Roman" w:hAnsi="Times New Roman"/>
          <w:sz w:val="28"/>
          <w:szCs w:val="28"/>
        </w:rPr>
        <w:t xml:space="preserve"> а контроль должен ограничиваться лишь формой, достаточной для обеспечения соблюдения таможенного законодательства.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Однако, </w:t>
      </w:r>
      <w:r w:rsidRPr="009966C1">
        <w:rPr>
          <w:rFonts w:ascii="Times New Roman" w:hAnsi="Times New Roman"/>
          <w:b/>
          <w:sz w:val="28"/>
          <w:szCs w:val="28"/>
        </w:rPr>
        <w:t>КГД неверно</w:t>
      </w:r>
      <w:r w:rsidRPr="009966C1">
        <w:rPr>
          <w:rFonts w:ascii="Times New Roman" w:hAnsi="Times New Roman"/>
          <w:sz w:val="28"/>
          <w:szCs w:val="28"/>
        </w:rPr>
        <w:t xml:space="preserve"> </w:t>
      </w:r>
      <w:r w:rsidRPr="009966C1">
        <w:rPr>
          <w:rFonts w:ascii="Times New Roman" w:hAnsi="Times New Roman"/>
          <w:b/>
          <w:sz w:val="28"/>
          <w:szCs w:val="28"/>
        </w:rPr>
        <w:t>реализовало данный</w:t>
      </w:r>
      <w:r w:rsidRPr="009966C1">
        <w:rPr>
          <w:rFonts w:ascii="Times New Roman" w:hAnsi="Times New Roman"/>
          <w:sz w:val="28"/>
          <w:szCs w:val="28"/>
        </w:rPr>
        <w:t xml:space="preserve"> </w:t>
      </w:r>
      <w:r w:rsidRPr="009966C1">
        <w:rPr>
          <w:rFonts w:ascii="Times New Roman" w:hAnsi="Times New Roman"/>
          <w:b/>
          <w:sz w:val="28"/>
          <w:szCs w:val="28"/>
        </w:rPr>
        <w:t>принцип</w:t>
      </w:r>
      <w:r w:rsidRPr="009966C1">
        <w:rPr>
          <w:rFonts w:ascii="Times New Roman" w:hAnsi="Times New Roman"/>
          <w:sz w:val="28"/>
          <w:szCs w:val="28"/>
        </w:rPr>
        <w:t xml:space="preserve">, </w:t>
      </w:r>
      <w:r w:rsidRPr="009966C1">
        <w:rPr>
          <w:rFonts w:ascii="Times New Roman" w:hAnsi="Times New Roman"/>
          <w:b/>
          <w:sz w:val="28"/>
          <w:szCs w:val="28"/>
        </w:rPr>
        <w:t>ослабив его по отношению к крупным налогоплательщикам и, наоборот, ужесточив его по отношению к малым</w:t>
      </w:r>
      <w:r w:rsidRPr="009966C1">
        <w:rPr>
          <w:rFonts w:ascii="Times New Roman" w:hAnsi="Times New Roman"/>
          <w:sz w:val="28"/>
          <w:szCs w:val="28"/>
        </w:rPr>
        <w:t>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В международной же практике, напротив, более </w:t>
      </w:r>
      <w:r w:rsidRPr="009966C1">
        <w:rPr>
          <w:rFonts w:ascii="Times New Roman" w:hAnsi="Times New Roman"/>
          <w:b/>
          <w:sz w:val="28"/>
          <w:szCs w:val="28"/>
        </w:rPr>
        <w:t>лояльные критерии</w:t>
      </w:r>
      <w:r w:rsidRPr="009966C1">
        <w:rPr>
          <w:rFonts w:ascii="Times New Roman" w:hAnsi="Times New Roman"/>
          <w:sz w:val="28"/>
          <w:szCs w:val="28"/>
        </w:rPr>
        <w:t xml:space="preserve"> рисков </w:t>
      </w:r>
      <w:r w:rsidRPr="009966C1">
        <w:rPr>
          <w:rFonts w:ascii="Times New Roman" w:hAnsi="Times New Roman"/>
          <w:b/>
          <w:sz w:val="28"/>
          <w:szCs w:val="28"/>
        </w:rPr>
        <w:t>применяются именно к малому бизнесу</w:t>
      </w:r>
      <w:r w:rsidRPr="009966C1">
        <w:rPr>
          <w:rFonts w:ascii="Times New Roman" w:hAnsi="Times New Roman"/>
          <w:sz w:val="28"/>
          <w:szCs w:val="28"/>
        </w:rPr>
        <w:t xml:space="preserve">, так как в их случае </w:t>
      </w:r>
      <w:r w:rsidRPr="009966C1">
        <w:rPr>
          <w:rFonts w:ascii="Times New Roman" w:hAnsi="Times New Roman"/>
          <w:b/>
          <w:sz w:val="28"/>
          <w:szCs w:val="28"/>
        </w:rPr>
        <w:t>потери для государства несравненно ниже</w:t>
      </w:r>
      <w:r w:rsidRPr="009966C1">
        <w:rPr>
          <w:rFonts w:ascii="Times New Roman" w:hAnsi="Times New Roman"/>
          <w:sz w:val="28"/>
          <w:szCs w:val="28"/>
        </w:rPr>
        <w:t>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Кроме того, фактически уполномоченный государственный орган в лице КГД </w:t>
      </w:r>
      <w:r w:rsidRPr="009966C1">
        <w:rPr>
          <w:rFonts w:ascii="Times New Roman" w:hAnsi="Times New Roman"/>
          <w:b/>
          <w:sz w:val="28"/>
          <w:szCs w:val="28"/>
        </w:rPr>
        <w:t>самоустранился от контроля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9966C1">
        <w:rPr>
          <w:rFonts w:ascii="Times New Roman" w:hAnsi="Times New Roman"/>
          <w:sz w:val="28"/>
          <w:szCs w:val="28"/>
        </w:rPr>
        <w:t xml:space="preserve">за внешнеэкономической деятельностью крупного бизнеса, что привело к </w:t>
      </w:r>
      <w:r w:rsidRPr="009966C1">
        <w:rPr>
          <w:rFonts w:ascii="Times New Roman" w:hAnsi="Times New Roman"/>
          <w:b/>
          <w:sz w:val="28"/>
          <w:szCs w:val="28"/>
        </w:rPr>
        <w:t>снижению поступления платежей в бюджет</w:t>
      </w:r>
      <w:r w:rsidRPr="009966C1">
        <w:rPr>
          <w:rFonts w:ascii="Times New Roman" w:hAnsi="Times New Roman"/>
          <w:sz w:val="28"/>
          <w:szCs w:val="28"/>
        </w:rPr>
        <w:t>.</w:t>
      </w:r>
    </w:p>
    <w:p w:rsidR="009966C1" w:rsidRPr="009966C1" w:rsidP="009966C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Помимо этого, система таможенного декларирования </w:t>
      </w:r>
      <w:r w:rsidRPr="009966C1">
        <w:rPr>
          <w:rFonts w:ascii="Times New Roman" w:hAnsi="Times New Roman"/>
          <w:sz w:val="28"/>
          <w:szCs w:val="28"/>
        </w:rPr>
        <w:br/>
        <w:t>ИС «Астана-1» позволяет</w:t>
      </w:r>
      <w:r w:rsidRPr="009966C1">
        <w:rPr>
          <w:rFonts w:ascii="Times New Roman" w:hAnsi="Times New Roman"/>
          <w:b/>
          <w:sz w:val="28"/>
          <w:szCs w:val="28"/>
        </w:rPr>
        <w:t xml:space="preserve"> заявлять недостоверные данные </w:t>
      </w:r>
      <w:r w:rsidRPr="009966C1">
        <w:rPr>
          <w:rFonts w:ascii="Times New Roman" w:hAnsi="Times New Roman"/>
          <w:i/>
          <w:sz w:val="28"/>
          <w:szCs w:val="28"/>
        </w:rPr>
        <w:t>(невключение сумм роялти, дивидендов и арендных платежей по ним, принятие стоимости по цене сделки с ввозимыми товарами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9966C1">
        <w:rPr>
          <w:rFonts w:ascii="Times New Roman" w:hAnsi="Times New Roman"/>
          <w:i/>
          <w:sz w:val="28"/>
          <w:szCs w:val="28"/>
        </w:rPr>
        <w:t>в отношении товаров, которые не являются предметом купли-продажи, применение необоснованных источников ценовой информации при определении таможенной стоимости)</w:t>
      </w:r>
      <w:r w:rsidRPr="009966C1">
        <w:rPr>
          <w:rFonts w:ascii="Times New Roman" w:hAnsi="Times New Roman"/>
          <w:sz w:val="28"/>
          <w:szCs w:val="28"/>
        </w:rPr>
        <w:t xml:space="preserve">, которые органами государственных доходов </w:t>
      </w:r>
      <w:r w:rsidRPr="009966C1">
        <w:rPr>
          <w:rFonts w:ascii="Times New Roman" w:hAnsi="Times New Roman"/>
          <w:b/>
          <w:sz w:val="28"/>
          <w:szCs w:val="28"/>
        </w:rPr>
        <w:t>не выявляются</w:t>
      </w:r>
      <w:r w:rsidRPr="009966C1">
        <w:rPr>
          <w:rFonts w:ascii="Times New Roman" w:hAnsi="Times New Roman"/>
          <w:sz w:val="28"/>
          <w:szCs w:val="28"/>
        </w:rPr>
        <w:t xml:space="preserve"> и списываются </w:t>
      </w:r>
      <w:r w:rsidRPr="009966C1">
        <w:rPr>
          <w:rFonts w:ascii="Times New Roman" w:hAnsi="Times New Roman"/>
          <w:b/>
          <w:sz w:val="28"/>
          <w:szCs w:val="28"/>
        </w:rPr>
        <w:t>за истечением срока давности.</w:t>
      </w:r>
      <w:r w:rsidRPr="009966C1">
        <w:rPr>
          <w:rFonts w:ascii="Times New Roman" w:hAnsi="Times New Roman"/>
          <w:sz w:val="28"/>
          <w:szCs w:val="28"/>
        </w:rPr>
        <w:t xml:space="preserve"> В результате </w:t>
      </w:r>
      <w:r w:rsidRPr="009966C1">
        <w:rPr>
          <w:rFonts w:ascii="Times New Roman" w:hAnsi="Times New Roman"/>
          <w:b/>
          <w:sz w:val="28"/>
          <w:szCs w:val="28"/>
        </w:rPr>
        <w:t>ущерб бюджету только в 2023 году составил 2,5 млрд тенге</w:t>
      </w:r>
      <w:r w:rsidRPr="009966C1">
        <w:rPr>
          <w:rFonts w:ascii="Times New Roman" w:hAnsi="Times New Roman"/>
          <w:sz w:val="28"/>
          <w:szCs w:val="28"/>
        </w:rPr>
        <w:t>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Все это приводит к </w:t>
      </w:r>
      <w:r w:rsidRPr="009966C1">
        <w:rPr>
          <w:rFonts w:ascii="Times New Roman" w:hAnsi="Times New Roman"/>
          <w:b/>
          <w:sz w:val="28"/>
          <w:szCs w:val="28"/>
        </w:rPr>
        <w:t xml:space="preserve">снижению эффективности мер таможенного контроля. </w:t>
      </w:r>
      <w:r w:rsidRPr="009966C1">
        <w:rPr>
          <w:rFonts w:ascii="Times New Roman" w:hAnsi="Times New Roman"/>
          <w:sz w:val="28"/>
          <w:szCs w:val="28"/>
        </w:rPr>
        <w:t xml:space="preserve">По данным Высшей аудиторской палаты </w:t>
      </w:r>
      <w:r w:rsidRPr="009966C1">
        <w:rPr>
          <w:rFonts w:ascii="Times New Roman" w:hAnsi="Times New Roman"/>
          <w:b/>
          <w:sz w:val="28"/>
          <w:szCs w:val="28"/>
        </w:rPr>
        <w:t>за последние три года</w:t>
      </w:r>
      <w:r w:rsidRPr="009966C1">
        <w:rPr>
          <w:rFonts w:ascii="Times New Roman" w:hAnsi="Times New Roman"/>
          <w:sz w:val="28"/>
          <w:szCs w:val="28"/>
        </w:rPr>
        <w:t xml:space="preserve"> целевой индикатор</w:t>
      </w:r>
      <w:r>
        <w:rPr>
          <w:rFonts w:ascii="Times New Roman" w:hAnsi="Times New Roman"/>
          <w:sz w:val="28"/>
          <w:szCs w:val="28"/>
        </w:rPr>
        <w:t xml:space="preserve"> </w:t>
      </w:r>
      <w:r w:rsidRPr="009966C1">
        <w:rPr>
          <w:rFonts w:ascii="Times New Roman" w:hAnsi="Times New Roman"/>
          <w:sz w:val="28"/>
          <w:szCs w:val="28"/>
        </w:rPr>
        <w:t>«Доля деклараций на товары, по которым подтверждены риски, от общего количества деклараций на товары, на которые сработала система управления рисками» снизился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9966C1">
        <w:rPr>
          <w:rFonts w:ascii="Times New Roman" w:hAnsi="Times New Roman"/>
          <w:sz w:val="28"/>
          <w:szCs w:val="28"/>
        </w:rPr>
        <w:t>с 76,6% в 2021 году до 65,6% в 2022 году и 64% в 2023 году.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В то же время, Глава государства не раз говорил </w:t>
      </w:r>
      <w:r w:rsidRPr="009966C1">
        <w:rPr>
          <w:rFonts w:ascii="Times New Roman" w:hAnsi="Times New Roman"/>
          <w:sz w:val="28"/>
          <w:szCs w:val="28"/>
        </w:rPr>
        <w:br/>
        <w:t xml:space="preserve">о необходимости создания </w:t>
      </w:r>
      <w:r w:rsidRPr="009966C1">
        <w:rPr>
          <w:rFonts w:ascii="Times New Roman" w:hAnsi="Times New Roman"/>
          <w:b/>
          <w:sz w:val="28"/>
          <w:szCs w:val="28"/>
        </w:rPr>
        <w:t>«мягкой» инфраструктуры</w:t>
      </w:r>
      <w:r w:rsidRPr="009966C1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т</w:t>
      </w:r>
      <w:r w:rsidRPr="009966C1">
        <w:rPr>
          <w:rFonts w:ascii="Times New Roman" w:hAnsi="Times New Roman"/>
          <w:sz w:val="28"/>
          <w:szCs w:val="28"/>
        </w:rPr>
        <w:t>о есть цифровизации, упрощению таможенного администрирования и снижению административной нагрузки.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>В этой связи, полагаем необходимым: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b/>
          <w:sz w:val="28"/>
          <w:szCs w:val="28"/>
        </w:rPr>
        <w:t>Первое.</w:t>
      </w:r>
      <w:r w:rsidRPr="009966C1">
        <w:rPr>
          <w:rFonts w:ascii="Times New Roman" w:hAnsi="Times New Roman"/>
          <w:sz w:val="28"/>
          <w:szCs w:val="28"/>
        </w:rPr>
        <w:t xml:space="preserve"> Ужесточить профили риска СКУР для крупных налогоплательщиков в части проверки заявленных </w:t>
      </w:r>
      <w:r w:rsidRPr="009966C1">
        <w:rPr>
          <w:rFonts w:ascii="Times New Roman" w:hAnsi="Times New Roman"/>
          <w:sz w:val="28"/>
          <w:szCs w:val="28"/>
        </w:rPr>
        <w:br/>
        <w:t>в таможенной декларации документов для таможенного оформления и соблюдения мер нетарифного регулирования (обязательной сертификации, разрешений и др.).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b/>
          <w:sz w:val="28"/>
          <w:szCs w:val="28"/>
        </w:rPr>
        <w:t>Второе.</w:t>
      </w:r>
      <w:r w:rsidRPr="009966C1">
        <w:rPr>
          <w:rFonts w:ascii="Times New Roman" w:hAnsi="Times New Roman"/>
          <w:sz w:val="28"/>
          <w:szCs w:val="28"/>
        </w:rPr>
        <w:t xml:space="preserve"> Пересмотреть профили риска для малого бизнеса с учетом статистики выявленных правонарушений.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b/>
          <w:sz w:val="28"/>
          <w:szCs w:val="28"/>
        </w:rPr>
        <w:t>Третье.</w:t>
      </w:r>
      <w:r w:rsidRPr="009966C1">
        <w:rPr>
          <w:rFonts w:ascii="Times New Roman" w:hAnsi="Times New Roman"/>
          <w:sz w:val="28"/>
          <w:szCs w:val="28"/>
        </w:rPr>
        <w:t xml:space="preserve"> Доработать ИС «Астана-1» в части ужесточения контроля за вводимой в электронную декларацию информацией, путем автоматической сверки сведений </w:t>
      </w:r>
      <w:r w:rsidRPr="009966C1">
        <w:rPr>
          <w:rFonts w:ascii="Times New Roman" w:hAnsi="Times New Roman"/>
          <w:sz w:val="28"/>
          <w:szCs w:val="28"/>
        </w:rPr>
        <w:br/>
        <w:t>из баз данных по сертификации, разрешениям, а также проверкой их достоверности.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b/>
          <w:sz w:val="28"/>
          <w:szCs w:val="28"/>
        </w:rPr>
        <w:t>Четвертое.</w:t>
      </w:r>
      <w:r w:rsidRPr="009966C1">
        <w:rPr>
          <w:rFonts w:ascii="Times New Roman" w:hAnsi="Times New Roman"/>
          <w:sz w:val="28"/>
          <w:szCs w:val="28"/>
        </w:rPr>
        <w:t xml:space="preserve"> Организовать пост-таможенные проверки крупных налогоплательщиков за пятилетний период исковой давности.</w:t>
      </w:r>
    </w:p>
    <w:p w:rsidR="009966C1" w:rsidRPr="009966C1" w:rsidP="009966C1">
      <w:pPr>
        <w:spacing w:after="0" w:line="28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6C1">
        <w:rPr>
          <w:rFonts w:ascii="Times New Roman" w:hAnsi="Times New Roman"/>
          <w:sz w:val="28"/>
          <w:szCs w:val="28"/>
        </w:rPr>
        <w:t xml:space="preserve">Принятие и реализация указанного комплекса мер </w:t>
      </w:r>
      <w:r w:rsidRPr="009966C1">
        <w:rPr>
          <w:rFonts w:ascii="Times New Roman" w:hAnsi="Times New Roman"/>
          <w:b/>
          <w:sz w:val="28"/>
          <w:szCs w:val="28"/>
        </w:rPr>
        <w:t>позволит увеличить поступления бюджет, повысить эффективность таможенного администрирования, обеспечить полную прослеживаемость товаров, а также прозрачность деятельности крупных участников ВЭД</w:t>
      </w:r>
      <w:r w:rsidRPr="009966C1">
        <w:rPr>
          <w:rFonts w:ascii="Times New Roman" w:hAnsi="Times New Roman"/>
          <w:sz w:val="28"/>
          <w:szCs w:val="28"/>
        </w:rPr>
        <w:t>.</w:t>
      </w:r>
    </w:p>
    <w:p w:rsidR="00A05AB5" w:rsidP="00E50CA4">
      <w:pPr>
        <w:spacing w:after="0"/>
        <w:ind w:firstLine="708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</w:p>
    <w:p w:rsidR="009966C1" w:rsidRPr="009966C1" w:rsidP="00E50CA4">
      <w:pPr>
        <w:spacing w:after="0"/>
        <w:ind w:firstLine="708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</w:p>
    <w:p w:rsidR="00ED30BD" w:rsidRPr="00CF788D" w:rsidP="002E3642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CF788D">
        <w:rPr>
          <w:rFonts w:ascii="Times New Roman" w:hAnsi="Times New Roman"/>
          <w:b/>
          <w:bCs/>
          <w:sz w:val="28"/>
          <w:szCs w:val="28"/>
        </w:rPr>
        <w:t>С уважением,</w:t>
      </w:r>
    </w:p>
    <w:p w:rsidR="00ED4F26" w:rsidP="002E3642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CF788D">
        <w:rPr>
          <w:rFonts w:ascii="Times New Roman" w:hAnsi="Times New Roman"/>
          <w:b/>
          <w:bCs/>
          <w:sz w:val="28"/>
          <w:szCs w:val="28"/>
        </w:rPr>
        <w:t xml:space="preserve">Депутаты </w:t>
      </w:r>
      <w:r w:rsidR="00CF788D">
        <w:rPr>
          <w:rFonts w:ascii="Times New Roman" w:hAnsi="Times New Roman"/>
          <w:b/>
          <w:bCs/>
          <w:sz w:val="28"/>
          <w:szCs w:val="28"/>
        </w:rPr>
        <w:t>фракции партии «</w:t>
      </w:r>
      <w:r w:rsidR="00CF788D">
        <w:rPr>
          <w:rFonts w:ascii="Times New Roman" w:hAnsi="Times New Roman"/>
          <w:b/>
          <w:bCs/>
          <w:sz w:val="28"/>
          <w:szCs w:val="28"/>
          <w:lang w:val="en-US"/>
        </w:rPr>
        <w:t>AMANAT</w:t>
      </w:r>
      <w:r w:rsidR="00CF788D">
        <w:rPr>
          <w:rFonts w:ascii="Times New Roman" w:hAnsi="Times New Roman"/>
          <w:b/>
          <w:bCs/>
          <w:sz w:val="28"/>
          <w:szCs w:val="28"/>
        </w:rPr>
        <w:t>»</w:t>
      </w:r>
    </w:p>
    <w:p w:rsidR="00ED30BD" w:rsidRPr="00CF788D" w:rsidP="00ED4F26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 w:rsidRPr="00CF788D">
        <w:rPr>
          <w:rFonts w:ascii="Times New Roman" w:hAnsi="Times New Roman"/>
          <w:b/>
          <w:bCs/>
          <w:sz w:val="28"/>
          <w:szCs w:val="28"/>
        </w:rPr>
        <w:t>Б.А.Смагулов</w:t>
      </w:r>
    </w:p>
    <w:p w:rsidR="00CF788D" w:rsidP="00ED30B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Е.Т.Жанбыршин</w:t>
      </w:r>
    </w:p>
    <w:p w:rsidR="00ED30BD" w:rsidRPr="006C135A" w:rsidP="00ED30B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 w:rsidRPr="006C135A">
        <w:rPr>
          <w:rFonts w:ascii="Times New Roman" w:hAnsi="Times New Roman"/>
          <w:b/>
          <w:bCs/>
          <w:sz w:val="28"/>
          <w:szCs w:val="28"/>
        </w:rPr>
        <w:t>М.З.Искандиров</w:t>
      </w:r>
    </w:p>
    <w:p w:rsidR="009966C1" w:rsidP="009966C1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 w:rsidRPr="006C135A">
        <w:rPr>
          <w:rFonts w:ascii="Times New Roman" w:hAnsi="Times New Roman"/>
          <w:b/>
          <w:bCs/>
          <w:sz w:val="28"/>
          <w:szCs w:val="28"/>
        </w:rPr>
        <w:t>А.К.Калыков</w:t>
      </w:r>
    </w:p>
    <w:p w:rsidR="009966C1" w:rsidRPr="005039E9" w:rsidP="009966C1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sz w:val="28"/>
          <w:szCs w:val="28"/>
        </w:rPr>
        <w:t>Р.С.Кожасбаев</w:t>
      </w:r>
    </w:p>
    <w:p w:rsidR="009966C1" w:rsidRPr="006C135A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5039E9" w:rsidRPr="006C135A" w:rsidP="005039E9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Депутат ф</w:t>
      </w:r>
      <w:r w:rsidRPr="006C135A">
        <w:rPr>
          <w:rFonts w:ascii="Times New Roman" w:hAnsi="Times New Roman"/>
          <w:b/>
          <w:bCs/>
          <w:sz w:val="28"/>
          <w:szCs w:val="28"/>
        </w:rPr>
        <w:t>ракци</w:t>
      </w:r>
      <w:r>
        <w:rPr>
          <w:rFonts w:ascii="Times New Roman" w:hAnsi="Times New Roman"/>
          <w:b/>
          <w:bCs/>
          <w:sz w:val="28"/>
          <w:szCs w:val="28"/>
        </w:rPr>
        <w:t>и «Народная партия Казахстана»</w:t>
      </w:r>
    </w:p>
    <w:p w:rsidR="002E3642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И.В.Смирнова</w:t>
      </w:r>
    </w:p>
    <w:p w:rsidR="009966C1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9966C1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9966C1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9966C1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9966C1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9966C1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9966C1" w:rsidP="00CF788D">
      <w:pPr>
        <w:widowControl w:val="0"/>
        <w:pBdr>
          <w:bottom w:val="single" w:sz="4" w:space="31" w:color="FFFFFF"/>
        </w:pBdr>
        <w:tabs>
          <w:tab w:val="left" w:pos="709"/>
          <w:tab w:val="left" w:pos="8640"/>
        </w:tabs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9966C1" w:rsidP="00ED4F26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val="kk-KZ"/>
        </w:rPr>
      </w:pPr>
      <w:r w:rsidRPr="003A3B04">
        <w:rPr>
          <w:rFonts w:ascii="Times New Roman" w:hAnsi="Times New Roman"/>
          <w:bCs/>
          <w:i/>
          <w:sz w:val="24"/>
          <w:szCs w:val="24"/>
          <w:lang w:val="kk-KZ"/>
        </w:rPr>
        <w:t>Онлашева Ж.О.</w:t>
      </w:r>
    </w:p>
    <w:p w:rsidR="009966C1" w:rsidP="00ED4F26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val="kk-KZ"/>
        </w:rPr>
      </w:pPr>
      <w:r>
        <w:rPr>
          <w:rFonts w:ascii="Times New Roman" w:hAnsi="Times New Roman"/>
          <w:bCs/>
          <w:i/>
          <w:sz w:val="24"/>
          <w:szCs w:val="24"/>
          <w:lang w:val="kk-KZ"/>
        </w:rPr>
        <w:t xml:space="preserve"> </w:t>
      </w:r>
      <w:r w:rsidRPr="003A3B04" w:rsidR="00ED4F26">
        <w:rPr>
          <w:rFonts w:ascii="Times New Roman" w:hAnsi="Times New Roman"/>
          <w:bCs/>
          <w:i/>
          <w:sz w:val="24"/>
          <w:szCs w:val="24"/>
          <w:lang w:val="kk-KZ"/>
        </w:rPr>
        <w:t>746755</w:t>
      </w:r>
    </w:p>
    <w:sectPr w:rsidSect="00564EA0">
      <w:pgSz w:w="12240" w:h="15840"/>
      <w:pgMar w:top="1134" w:right="104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2F9B"/>
    <w:pPr>
      <w:spacing w:after="200" w:line="276" w:lineRule="auto"/>
    </w:pPr>
    <w:rPr>
      <w:rFonts w:ascii="Calibri" w:eastAsia="Calibri" w:hAnsi="Calibri" w:cs="Times New Roman"/>
      <w:lang w:val="ru-RU"/>
    </w:rPr>
  </w:style>
  <w:style w:type="paragraph" w:styleId="Heading1">
    <w:name w:val="heading 1"/>
    <w:basedOn w:val="Normal"/>
    <w:next w:val="Normal"/>
    <w:link w:val="1"/>
    <w:uiPriority w:val="9"/>
    <w:qFormat/>
    <w:rsid w:val="00DD735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DD735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DD735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DD735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DD735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DD7354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DD7354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DD7354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DD7354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Заголовок 1 Знак"/>
    <w:basedOn w:val="DefaultParagraphFont"/>
    <w:link w:val="Heading1"/>
    <w:uiPriority w:val="9"/>
    <w:rsid w:val="00DD73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">
    <w:name w:val="Заголовок 2 Знак"/>
    <w:basedOn w:val="DefaultParagraphFont"/>
    <w:link w:val="Heading2"/>
    <w:uiPriority w:val="9"/>
    <w:semiHidden/>
    <w:rsid w:val="00DD73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">
    <w:name w:val="Заголовок 3 Знак"/>
    <w:basedOn w:val="DefaultParagraphFont"/>
    <w:link w:val="Heading3"/>
    <w:uiPriority w:val="9"/>
    <w:semiHidden/>
    <w:rsid w:val="00DD73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">
    <w:name w:val="Заголовок 4 Знак"/>
    <w:basedOn w:val="DefaultParagraphFont"/>
    <w:link w:val="Heading4"/>
    <w:uiPriority w:val="9"/>
    <w:semiHidden/>
    <w:rsid w:val="00DD7354"/>
    <w:rPr>
      <w:rFonts w:eastAsiaTheme="majorEastAsia" w:cstheme="majorBidi"/>
      <w:i/>
      <w:iCs/>
      <w:color w:val="0F4761" w:themeColor="accent1" w:themeShade="BF"/>
    </w:rPr>
  </w:style>
  <w:style w:type="character" w:customStyle="1" w:styleId="5">
    <w:name w:val="Заголовок 5 Знак"/>
    <w:basedOn w:val="DefaultParagraphFont"/>
    <w:link w:val="Heading5"/>
    <w:uiPriority w:val="9"/>
    <w:semiHidden/>
    <w:rsid w:val="00DD7354"/>
    <w:rPr>
      <w:rFonts w:eastAsiaTheme="majorEastAsia" w:cstheme="majorBidi"/>
      <w:color w:val="0F4761" w:themeColor="accent1" w:themeShade="BF"/>
    </w:rPr>
  </w:style>
  <w:style w:type="character" w:customStyle="1" w:styleId="6">
    <w:name w:val="Заголовок 6 Знак"/>
    <w:basedOn w:val="DefaultParagraphFont"/>
    <w:link w:val="Heading6"/>
    <w:uiPriority w:val="9"/>
    <w:semiHidden/>
    <w:rsid w:val="00DD7354"/>
    <w:rPr>
      <w:rFonts w:eastAsiaTheme="majorEastAsia" w:cstheme="majorBidi"/>
      <w:i/>
      <w:iCs/>
      <w:color w:val="595959" w:themeColor="text1" w:themeTint="A6"/>
    </w:rPr>
  </w:style>
  <w:style w:type="character" w:customStyle="1" w:styleId="7">
    <w:name w:val="Заголовок 7 Знак"/>
    <w:basedOn w:val="DefaultParagraphFont"/>
    <w:link w:val="Heading7"/>
    <w:uiPriority w:val="9"/>
    <w:semiHidden/>
    <w:rsid w:val="00DD7354"/>
    <w:rPr>
      <w:rFonts w:eastAsiaTheme="majorEastAsia" w:cstheme="majorBidi"/>
      <w:color w:val="595959" w:themeColor="text1" w:themeTint="A6"/>
    </w:rPr>
  </w:style>
  <w:style w:type="character" w:customStyle="1" w:styleId="8">
    <w:name w:val="Заголовок 8 Знак"/>
    <w:basedOn w:val="DefaultParagraphFont"/>
    <w:link w:val="Heading8"/>
    <w:uiPriority w:val="9"/>
    <w:semiHidden/>
    <w:rsid w:val="00DD7354"/>
    <w:rPr>
      <w:rFonts w:eastAsiaTheme="majorEastAsia" w:cstheme="majorBidi"/>
      <w:i/>
      <w:iCs/>
      <w:color w:val="272727" w:themeColor="text1" w:themeTint="D8"/>
    </w:rPr>
  </w:style>
  <w:style w:type="character" w:customStyle="1" w:styleId="9">
    <w:name w:val="Заголовок 9 Знак"/>
    <w:basedOn w:val="DefaultParagraphFont"/>
    <w:link w:val="Heading9"/>
    <w:uiPriority w:val="9"/>
    <w:semiHidden/>
    <w:rsid w:val="00DD73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a"/>
    <w:uiPriority w:val="10"/>
    <w:qFormat/>
    <w:rsid w:val="00DD73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a">
    <w:name w:val="Заголовок Знак"/>
    <w:basedOn w:val="DefaultParagraphFont"/>
    <w:link w:val="Title"/>
    <w:uiPriority w:val="10"/>
    <w:rsid w:val="00DD7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a0"/>
    <w:uiPriority w:val="11"/>
    <w:qFormat/>
    <w:rsid w:val="00DD735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a0">
    <w:name w:val="Подзаголовок Знак"/>
    <w:basedOn w:val="DefaultParagraphFont"/>
    <w:link w:val="Subtitle"/>
    <w:uiPriority w:val="11"/>
    <w:rsid w:val="00DD7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20"/>
    <w:uiPriority w:val="29"/>
    <w:qFormat/>
    <w:rsid w:val="00DD735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/>
    </w:rPr>
  </w:style>
  <w:style w:type="character" w:customStyle="1" w:styleId="20">
    <w:name w:val="Цитата 2 Знак"/>
    <w:basedOn w:val="DefaultParagraphFont"/>
    <w:link w:val="Quote"/>
    <w:uiPriority w:val="29"/>
    <w:rsid w:val="00DD73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735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styleId="IntenseEmphasis">
    <w:name w:val="Intense Emphasis"/>
    <w:basedOn w:val="DefaultParagraphFont"/>
    <w:uiPriority w:val="21"/>
    <w:qFormat/>
    <w:rsid w:val="00DD73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a1"/>
    <w:uiPriority w:val="30"/>
    <w:qFormat/>
    <w:rsid w:val="00DD73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/>
    </w:rPr>
  </w:style>
  <w:style w:type="character" w:customStyle="1" w:styleId="a1">
    <w:name w:val="Выделенная цитата Знак"/>
    <w:basedOn w:val="DefaultParagraphFont"/>
    <w:link w:val="IntenseQuote"/>
    <w:uiPriority w:val="30"/>
    <w:rsid w:val="00DD73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7354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a2"/>
    <w:uiPriority w:val="99"/>
    <w:semiHidden/>
    <w:unhideWhenUsed/>
    <w:rsid w:val="005F5E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2">
    <w:name w:val="Текст выноски Знак"/>
    <w:basedOn w:val="DefaultParagraphFont"/>
    <w:link w:val="BalloonText"/>
    <w:uiPriority w:val="99"/>
    <w:semiHidden/>
    <w:rsid w:val="005F5EAA"/>
    <w:rPr>
      <w:rFonts w:ascii="Segoe UI" w:eastAsia="Calibr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