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3B" w:rsidRPr="00465001" w:rsidRDefault="00861E3B"/>
    <w:tbl>
      <w:tblPr>
        <w:tblpPr w:leftFromText="180" w:rightFromText="180" w:vertAnchor="text" w:horzAnchor="margin" w:tblpY="-163"/>
        <w:tblW w:w="9918" w:type="dxa"/>
        <w:tblLook w:val="01E0"/>
      </w:tblPr>
      <w:tblGrid>
        <w:gridCol w:w="3868"/>
        <w:gridCol w:w="386"/>
        <w:gridCol w:w="1986"/>
        <w:gridCol w:w="377"/>
        <w:gridCol w:w="3301"/>
      </w:tblGrid>
      <w:tr w:rsidR="00C12AAE" w:rsidRPr="00790AC8" w:rsidTr="00721B16">
        <w:trPr>
          <w:trHeight w:val="1988"/>
        </w:trPr>
        <w:tc>
          <w:tcPr>
            <w:tcW w:w="4254" w:type="dxa"/>
            <w:gridSpan w:val="2"/>
            <w:tcBorders>
              <w:bottom w:val="single" w:sz="12" w:space="0" w:color="3333CC"/>
            </w:tcBorders>
          </w:tcPr>
          <w:p w:rsidR="00861E3B" w:rsidRPr="00581C07" w:rsidRDefault="00861E3B" w:rsidP="00721B16">
            <w:pPr>
              <w:rPr>
                <w:b/>
                <w:bCs/>
                <w:color w:val="548DD4" w:themeColor="text2" w:themeTint="99"/>
                <w:sz w:val="20"/>
                <w:szCs w:val="20"/>
              </w:rPr>
            </w:pPr>
          </w:p>
          <w:p w:rsidR="00DE6EA1" w:rsidRPr="00581C07" w:rsidRDefault="00DE6EA1" w:rsidP="00721B16">
            <w:pPr>
              <w:jc w:val="center"/>
              <w:rPr>
                <w:b/>
                <w:noProof/>
                <w:color w:val="548DD4" w:themeColor="text2" w:themeTint="99"/>
                <w:sz w:val="20"/>
              </w:rPr>
            </w:pPr>
          </w:p>
          <w:p w:rsidR="007F754C" w:rsidRPr="00790AC8" w:rsidRDefault="00725FC0" w:rsidP="00721B16">
            <w:pPr>
              <w:jc w:val="center"/>
              <w:rPr>
                <w:b/>
                <w:color w:val="548DD4" w:themeColor="text2" w:themeTint="99"/>
                <w:sz w:val="20"/>
                <w:lang w:val="kk-KZ"/>
              </w:rPr>
            </w:pPr>
            <w:r w:rsidRPr="00790AC8">
              <w:rPr>
                <w:b/>
                <w:noProof/>
                <w:color w:val="548DD4" w:themeColor="text2" w:themeTint="99"/>
                <w:sz w:val="20"/>
              </w:rPr>
              <w:t>ҚАЗАҚСТАН РЕСПУБЛИКАСЫ</w:t>
            </w:r>
            <w:r w:rsidR="00DE6EA1" w:rsidRPr="00790AC8">
              <w:rPr>
                <w:b/>
                <w:noProof/>
                <w:color w:val="548DD4" w:themeColor="text2" w:themeTint="99"/>
                <w:sz w:val="20"/>
                <w:lang w:val="kk-KZ"/>
              </w:rPr>
              <w:t>НЫҢСТРАТЕГИЯЛЫҚ ЖОСПАРЛАУ ЖӘНЕ РЕФОРМАЛАР АГЕНТТІГІ</w:t>
            </w:r>
          </w:p>
          <w:p w:rsidR="007F754C" w:rsidRPr="00790AC8" w:rsidRDefault="007F754C" w:rsidP="00721B16">
            <w:pPr>
              <w:spacing w:line="288" w:lineRule="auto"/>
              <w:jc w:val="center"/>
              <w:rPr>
                <w:b/>
                <w:color w:val="548DD4" w:themeColor="text2" w:themeTint="99"/>
                <w:sz w:val="23"/>
                <w:szCs w:val="23"/>
              </w:rPr>
            </w:pPr>
          </w:p>
        </w:tc>
        <w:tc>
          <w:tcPr>
            <w:tcW w:w="1986" w:type="dxa"/>
            <w:tcBorders>
              <w:bottom w:val="single" w:sz="12" w:space="0" w:color="3333CC"/>
            </w:tcBorders>
            <w:hideMark/>
          </w:tcPr>
          <w:p w:rsidR="007F754C" w:rsidRPr="00790AC8" w:rsidRDefault="007F754C" w:rsidP="00721B16">
            <w:pPr>
              <w:rPr>
                <w:color w:val="548DD4"/>
                <w:sz w:val="22"/>
                <w:szCs w:val="22"/>
              </w:rPr>
            </w:pPr>
            <w:r w:rsidRPr="00790AC8">
              <w:rPr>
                <w:noProof/>
                <w:sz w:val="22"/>
                <w:szCs w:val="22"/>
              </w:rPr>
              <w:drawing>
                <wp:inline distT="0" distB="0" distL="0" distR="0">
                  <wp:extent cx="1123950" cy="11715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inline>
              </w:drawing>
            </w:r>
          </w:p>
        </w:tc>
        <w:tc>
          <w:tcPr>
            <w:tcW w:w="3678" w:type="dxa"/>
            <w:gridSpan w:val="2"/>
            <w:tcBorders>
              <w:bottom w:val="single" w:sz="12" w:space="0" w:color="3333CC"/>
            </w:tcBorders>
          </w:tcPr>
          <w:p w:rsidR="00861E3B" w:rsidRPr="00790AC8" w:rsidRDefault="00861E3B" w:rsidP="00721B16">
            <w:pPr>
              <w:rPr>
                <w:b/>
                <w:bCs/>
                <w:color w:val="548DD4" w:themeColor="text2" w:themeTint="99"/>
                <w:sz w:val="16"/>
                <w:szCs w:val="20"/>
              </w:rPr>
            </w:pPr>
          </w:p>
          <w:p w:rsidR="00DE6EA1" w:rsidRPr="00790AC8" w:rsidRDefault="00DE6EA1" w:rsidP="00721B16">
            <w:pPr>
              <w:ind w:left="-128"/>
              <w:jc w:val="center"/>
              <w:rPr>
                <w:b/>
                <w:noProof/>
                <w:color w:val="548DD4" w:themeColor="text2" w:themeTint="99"/>
                <w:sz w:val="20"/>
              </w:rPr>
            </w:pPr>
          </w:p>
          <w:p w:rsidR="007F754C" w:rsidRPr="00790AC8" w:rsidRDefault="001104E8" w:rsidP="00721B16">
            <w:pPr>
              <w:ind w:left="-128"/>
              <w:jc w:val="center"/>
              <w:rPr>
                <w:b/>
                <w:color w:val="548DD4" w:themeColor="text2" w:themeTint="99"/>
                <w:sz w:val="20"/>
              </w:rPr>
            </w:pPr>
            <w:r w:rsidRPr="00790AC8">
              <w:rPr>
                <w:b/>
                <w:noProof/>
                <w:color w:val="548DD4" w:themeColor="text2" w:themeTint="99"/>
                <w:sz w:val="20"/>
              </w:rPr>
              <w:t xml:space="preserve">АГЕНТСТВО ПО СТРАТЕГИЧЕСКОМУ </w:t>
            </w:r>
            <w:r w:rsidR="00DE6EA1" w:rsidRPr="00790AC8">
              <w:rPr>
                <w:b/>
                <w:noProof/>
                <w:color w:val="548DD4" w:themeColor="text2" w:themeTint="99"/>
                <w:sz w:val="20"/>
              </w:rPr>
              <w:t xml:space="preserve">ПЛАНИРОВАНИЮ И РЕФОРМАМ </w:t>
            </w:r>
            <w:r w:rsidR="00725FC0" w:rsidRPr="00790AC8">
              <w:rPr>
                <w:b/>
                <w:noProof/>
                <w:color w:val="548DD4" w:themeColor="text2" w:themeTint="99"/>
                <w:sz w:val="20"/>
              </w:rPr>
              <w:t>РЕСПУБЛИКИ КАЗАХСТАН</w:t>
            </w:r>
          </w:p>
          <w:p w:rsidR="007F754C" w:rsidRPr="00790AC8" w:rsidRDefault="007F754C" w:rsidP="00721B16">
            <w:pPr>
              <w:jc w:val="center"/>
              <w:rPr>
                <w:b/>
                <w:color w:val="548DD4" w:themeColor="text2" w:themeTint="99"/>
                <w:sz w:val="20"/>
                <w:szCs w:val="20"/>
              </w:rPr>
            </w:pPr>
          </w:p>
        </w:tc>
      </w:tr>
      <w:tr w:rsidR="00C370A0" w:rsidRPr="00790AC8" w:rsidTr="00721B16">
        <w:tc>
          <w:tcPr>
            <w:tcW w:w="3868" w:type="dxa"/>
            <w:tcBorders>
              <w:top w:val="single" w:sz="12" w:space="0" w:color="3333CC"/>
            </w:tcBorders>
          </w:tcPr>
          <w:p w:rsidR="00DE6EA1" w:rsidRPr="00790AC8" w:rsidRDefault="00DE6EA1" w:rsidP="00721B16">
            <w:pPr>
              <w:pStyle w:val="af2"/>
              <w:tabs>
                <w:tab w:val="clear" w:pos="9355"/>
                <w:tab w:val="left" w:pos="6840"/>
                <w:tab w:val="right" w:pos="10260"/>
              </w:tabs>
              <w:jc w:val="center"/>
              <w:rPr>
                <w:noProof/>
                <w:color w:val="548DD4" w:themeColor="text2" w:themeTint="99"/>
                <w:sz w:val="12"/>
                <w:szCs w:val="12"/>
              </w:rPr>
            </w:pPr>
          </w:p>
          <w:p w:rsidR="00725FC0" w:rsidRPr="00790AC8" w:rsidRDefault="00725FC0" w:rsidP="00721B16">
            <w:pPr>
              <w:pStyle w:val="af2"/>
              <w:tabs>
                <w:tab w:val="clear" w:pos="9355"/>
                <w:tab w:val="left" w:pos="6840"/>
                <w:tab w:val="right" w:pos="10260"/>
              </w:tabs>
              <w:ind w:left="-108"/>
              <w:jc w:val="center"/>
              <w:rPr>
                <w:color w:val="548DD4" w:themeColor="text2" w:themeTint="99"/>
                <w:sz w:val="16"/>
                <w:szCs w:val="12"/>
              </w:rPr>
            </w:pPr>
            <w:r w:rsidRPr="00790AC8">
              <w:rPr>
                <w:noProof/>
                <w:color w:val="548DD4" w:themeColor="text2" w:themeTint="99"/>
                <w:sz w:val="16"/>
                <w:szCs w:val="12"/>
              </w:rPr>
              <w:t xml:space="preserve">010000, </w:t>
            </w:r>
            <w:r w:rsidR="00DE6EA1" w:rsidRPr="00790AC8">
              <w:rPr>
                <w:noProof/>
                <w:color w:val="548DD4" w:themeColor="text2" w:themeTint="99"/>
                <w:sz w:val="16"/>
                <w:szCs w:val="12"/>
                <w:lang w:val="kk-KZ"/>
              </w:rPr>
              <w:t>Астана</w:t>
            </w:r>
            <w:r w:rsidR="00DE6EA1" w:rsidRPr="00790AC8">
              <w:rPr>
                <w:noProof/>
                <w:color w:val="548DD4" w:themeColor="text2" w:themeTint="99"/>
                <w:sz w:val="16"/>
                <w:szCs w:val="12"/>
              </w:rPr>
              <w:t xml:space="preserve"> қаласы, Мәңгілік Ел даңғылы, 55/6</w:t>
            </w:r>
          </w:p>
          <w:p w:rsidR="00C370A0" w:rsidRPr="00790AC8" w:rsidRDefault="00725FC0" w:rsidP="00721B16">
            <w:pPr>
              <w:pStyle w:val="af2"/>
              <w:tabs>
                <w:tab w:val="clear" w:pos="9355"/>
                <w:tab w:val="left" w:pos="6840"/>
                <w:tab w:val="right" w:pos="10260"/>
              </w:tabs>
              <w:ind w:left="-108"/>
              <w:jc w:val="center"/>
              <w:rPr>
                <w:color w:val="548DD4" w:themeColor="text2" w:themeTint="99"/>
                <w:sz w:val="12"/>
                <w:szCs w:val="12"/>
              </w:rPr>
            </w:pPr>
            <w:r w:rsidRPr="00790AC8">
              <w:rPr>
                <w:noProof/>
                <w:color w:val="548DD4" w:themeColor="text2" w:themeTint="99"/>
                <w:sz w:val="16"/>
                <w:szCs w:val="12"/>
              </w:rPr>
              <w:t xml:space="preserve">тел: 8 (7172) </w:t>
            </w:r>
            <w:r w:rsidR="00DE6EA1" w:rsidRPr="00790AC8">
              <w:rPr>
                <w:noProof/>
                <w:color w:val="548DD4" w:themeColor="text2" w:themeTint="99"/>
                <w:sz w:val="16"/>
                <w:szCs w:val="12"/>
              </w:rPr>
              <w:t>64 97 89</w:t>
            </w:r>
            <w:r w:rsidRPr="00790AC8">
              <w:rPr>
                <w:noProof/>
                <w:color w:val="548DD4" w:themeColor="text2" w:themeTint="99"/>
                <w:sz w:val="16"/>
                <w:szCs w:val="12"/>
              </w:rPr>
              <w:t xml:space="preserve">,  8 (7172) </w:t>
            </w:r>
            <w:r w:rsidR="00DE6EA1" w:rsidRPr="00790AC8">
              <w:rPr>
                <w:noProof/>
                <w:color w:val="548DD4" w:themeColor="text2" w:themeTint="99"/>
                <w:sz w:val="16"/>
                <w:szCs w:val="12"/>
              </w:rPr>
              <w:t>64 97 93</w:t>
            </w:r>
          </w:p>
        </w:tc>
        <w:tc>
          <w:tcPr>
            <w:tcW w:w="2749" w:type="dxa"/>
            <w:gridSpan w:val="3"/>
            <w:tcBorders>
              <w:top w:val="single" w:sz="12" w:space="0" w:color="3333CC"/>
            </w:tcBorders>
          </w:tcPr>
          <w:p w:rsidR="00C370A0" w:rsidRPr="00790AC8" w:rsidRDefault="00C370A0" w:rsidP="00721B16">
            <w:pPr>
              <w:rPr>
                <w:color w:val="548DD4"/>
                <w:sz w:val="12"/>
                <w:szCs w:val="12"/>
              </w:rPr>
            </w:pPr>
          </w:p>
          <w:p w:rsidR="00C370A0" w:rsidRPr="00790AC8" w:rsidRDefault="00C370A0" w:rsidP="00721B16">
            <w:pPr>
              <w:pStyle w:val="af2"/>
              <w:tabs>
                <w:tab w:val="clear" w:pos="9355"/>
                <w:tab w:val="left" w:pos="6840"/>
                <w:tab w:val="right" w:pos="10260"/>
              </w:tabs>
              <w:rPr>
                <w:color w:val="548DD4"/>
                <w:sz w:val="12"/>
                <w:szCs w:val="12"/>
              </w:rPr>
            </w:pPr>
          </w:p>
        </w:tc>
        <w:tc>
          <w:tcPr>
            <w:tcW w:w="3301" w:type="dxa"/>
            <w:tcBorders>
              <w:top w:val="single" w:sz="12" w:space="0" w:color="3333CC"/>
            </w:tcBorders>
          </w:tcPr>
          <w:p w:rsidR="00DE6EA1" w:rsidRPr="00790AC8" w:rsidRDefault="00DE6EA1" w:rsidP="00721B16">
            <w:pPr>
              <w:pStyle w:val="af2"/>
              <w:tabs>
                <w:tab w:val="clear" w:pos="9355"/>
                <w:tab w:val="left" w:pos="6840"/>
                <w:tab w:val="right" w:pos="10260"/>
              </w:tabs>
              <w:jc w:val="center"/>
              <w:rPr>
                <w:noProof/>
                <w:color w:val="548DD4" w:themeColor="text2" w:themeTint="99"/>
                <w:sz w:val="12"/>
                <w:szCs w:val="12"/>
              </w:rPr>
            </w:pPr>
          </w:p>
          <w:p w:rsidR="00725FC0" w:rsidRPr="00790AC8" w:rsidRDefault="00725FC0" w:rsidP="00721B16">
            <w:pPr>
              <w:pStyle w:val="af2"/>
              <w:tabs>
                <w:tab w:val="clear" w:pos="9355"/>
                <w:tab w:val="left" w:pos="6840"/>
                <w:tab w:val="right" w:pos="10260"/>
              </w:tabs>
              <w:ind w:left="-113"/>
              <w:jc w:val="center"/>
              <w:rPr>
                <w:color w:val="548DD4" w:themeColor="text2" w:themeTint="99"/>
                <w:sz w:val="16"/>
                <w:szCs w:val="12"/>
              </w:rPr>
            </w:pPr>
            <w:r w:rsidRPr="00790AC8">
              <w:rPr>
                <w:noProof/>
                <w:color w:val="548DD4" w:themeColor="text2" w:themeTint="99"/>
                <w:sz w:val="16"/>
                <w:szCs w:val="12"/>
              </w:rPr>
              <w:t xml:space="preserve">010000, город </w:t>
            </w:r>
            <w:r w:rsidR="00DE6EA1" w:rsidRPr="00790AC8">
              <w:rPr>
                <w:noProof/>
                <w:color w:val="548DD4" w:themeColor="text2" w:themeTint="99"/>
                <w:sz w:val="16"/>
                <w:szCs w:val="12"/>
              </w:rPr>
              <w:t>Астана, проспект Мәңгілік Ел, 55/6</w:t>
            </w:r>
          </w:p>
          <w:p w:rsidR="00C370A0" w:rsidRPr="00790AC8" w:rsidRDefault="00725FC0" w:rsidP="00721B16">
            <w:pPr>
              <w:pStyle w:val="af2"/>
              <w:tabs>
                <w:tab w:val="clear" w:pos="9355"/>
                <w:tab w:val="left" w:pos="6840"/>
                <w:tab w:val="right" w:pos="10260"/>
              </w:tabs>
              <w:ind w:left="-113"/>
              <w:jc w:val="center"/>
              <w:rPr>
                <w:color w:val="548DD4" w:themeColor="text2" w:themeTint="99"/>
                <w:sz w:val="12"/>
                <w:szCs w:val="12"/>
              </w:rPr>
            </w:pPr>
            <w:r w:rsidRPr="00790AC8">
              <w:rPr>
                <w:noProof/>
                <w:color w:val="548DD4" w:themeColor="text2" w:themeTint="99"/>
                <w:sz w:val="16"/>
                <w:szCs w:val="12"/>
              </w:rPr>
              <w:t xml:space="preserve">         тел: </w:t>
            </w:r>
            <w:r w:rsidR="00DE6EA1" w:rsidRPr="00790AC8">
              <w:rPr>
                <w:noProof/>
                <w:color w:val="548DD4" w:themeColor="text2" w:themeTint="99"/>
                <w:sz w:val="16"/>
                <w:szCs w:val="12"/>
              </w:rPr>
              <w:t>8 (7172) 64 97 89,  8 (7172) 64 97 93</w:t>
            </w:r>
          </w:p>
        </w:tc>
      </w:tr>
    </w:tbl>
    <w:p w:rsidR="007864B2" w:rsidRPr="00790AC8" w:rsidRDefault="007864B2" w:rsidP="007864B2">
      <w:pPr>
        <w:rPr>
          <w:color w:val="548DD4" w:themeColor="text2" w:themeTint="99"/>
          <w:sz w:val="28"/>
          <w:szCs w:val="28"/>
        </w:rPr>
      </w:pPr>
      <w:r w:rsidRPr="00790AC8">
        <w:rPr>
          <w:color w:val="548DD4" w:themeColor="text2" w:themeTint="99"/>
          <w:sz w:val="28"/>
          <w:szCs w:val="28"/>
        </w:rPr>
        <w:t>_____</w:t>
      </w:r>
      <w:r w:rsidR="00725FC0" w:rsidRPr="00790AC8">
        <w:rPr>
          <w:color w:val="548DD4" w:themeColor="text2" w:themeTint="99"/>
          <w:sz w:val="16"/>
          <w:szCs w:val="16"/>
        </w:rPr>
        <w:t>№</w:t>
      </w:r>
      <w:r w:rsidRPr="00790AC8">
        <w:rPr>
          <w:color w:val="548DD4" w:themeColor="text2" w:themeTint="99"/>
          <w:sz w:val="28"/>
          <w:szCs w:val="28"/>
        </w:rPr>
        <w:t>__________</w:t>
      </w:r>
      <w:r w:rsidR="009E02E9" w:rsidRPr="00790AC8">
        <w:rPr>
          <w:color w:val="548DD4" w:themeColor="text2" w:themeTint="99"/>
          <w:sz w:val="28"/>
          <w:szCs w:val="28"/>
        </w:rPr>
        <w:t>_____</w:t>
      </w:r>
    </w:p>
    <w:p w:rsidR="009E02E9" w:rsidRPr="00790AC8" w:rsidRDefault="009E02E9" w:rsidP="007864B2">
      <w:pPr>
        <w:rPr>
          <w:color w:val="548DD4" w:themeColor="text2" w:themeTint="99"/>
          <w:sz w:val="28"/>
          <w:szCs w:val="28"/>
        </w:rPr>
      </w:pPr>
      <w:r w:rsidRPr="00790AC8">
        <w:rPr>
          <w:color w:val="548DD4" w:themeColor="text2" w:themeTint="99"/>
          <w:sz w:val="28"/>
          <w:szCs w:val="28"/>
        </w:rPr>
        <w:t>_____________________</w:t>
      </w:r>
    </w:p>
    <w:p w:rsidR="00F20A3C" w:rsidRPr="00790AC8" w:rsidRDefault="00F20A3C" w:rsidP="00F20A3C">
      <w:pPr>
        <w:ind w:left="6521"/>
        <w:rPr>
          <w:b/>
          <w:sz w:val="28"/>
          <w:szCs w:val="28"/>
          <w:lang w:val="kk-KZ"/>
        </w:rPr>
      </w:pPr>
      <w:r w:rsidRPr="00790AC8">
        <w:rPr>
          <w:b/>
          <w:sz w:val="28"/>
          <w:szCs w:val="28"/>
          <w:lang w:val="kk-KZ"/>
        </w:rPr>
        <w:t xml:space="preserve">Депутату </w:t>
      </w:r>
    </w:p>
    <w:p w:rsidR="00F20A3C" w:rsidRPr="00790AC8" w:rsidRDefault="00F20A3C" w:rsidP="00F20A3C">
      <w:pPr>
        <w:ind w:left="6521"/>
        <w:rPr>
          <w:b/>
          <w:sz w:val="28"/>
          <w:szCs w:val="28"/>
          <w:lang w:val="kk-KZ"/>
        </w:rPr>
      </w:pPr>
      <w:r w:rsidRPr="00790AC8">
        <w:rPr>
          <w:b/>
          <w:sz w:val="28"/>
          <w:szCs w:val="28"/>
          <w:lang w:val="kk-KZ"/>
        </w:rPr>
        <w:t xml:space="preserve">Мажилиса Парламента </w:t>
      </w:r>
    </w:p>
    <w:p w:rsidR="00F20A3C" w:rsidRPr="00790AC8" w:rsidRDefault="00F20A3C" w:rsidP="00F20A3C">
      <w:pPr>
        <w:ind w:left="6521"/>
        <w:rPr>
          <w:b/>
          <w:sz w:val="28"/>
          <w:szCs w:val="28"/>
          <w:lang w:val="kk-KZ"/>
        </w:rPr>
      </w:pPr>
      <w:r w:rsidRPr="00790AC8">
        <w:rPr>
          <w:b/>
          <w:sz w:val="28"/>
          <w:szCs w:val="28"/>
          <w:lang w:val="kk-KZ"/>
        </w:rPr>
        <w:t>Республики Казахстан</w:t>
      </w:r>
    </w:p>
    <w:p w:rsidR="00F20A3C" w:rsidRPr="00790AC8" w:rsidRDefault="00F20A3C" w:rsidP="00F20A3C">
      <w:pPr>
        <w:ind w:left="6521"/>
        <w:rPr>
          <w:b/>
          <w:sz w:val="28"/>
          <w:szCs w:val="28"/>
          <w:lang w:val="kk-KZ"/>
        </w:rPr>
      </w:pPr>
      <w:r w:rsidRPr="00790AC8">
        <w:rPr>
          <w:b/>
          <w:sz w:val="28"/>
          <w:szCs w:val="28"/>
          <w:lang w:val="kk-KZ"/>
        </w:rPr>
        <w:t xml:space="preserve">Бейсенбаеву Е. С. </w:t>
      </w:r>
    </w:p>
    <w:p w:rsidR="00F20A3C" w:rsidRPr="00790AC8" w:rsidRDefault="00F20A3C" w:rsidP="00F20A3C">
      <w:pPr>
        <w:tabs>
          <w:tab w:val="left" w:pos="5812"/>
        </w:tabs>
        <w:ind w:left="5387" w:right="-1"/>
        <w:rPr>
          <w:b/>
          <w:i/>
          <w:color w:val="000000"/>
          <w:lang w:val="kk-KZ"/>
        </w:rPr>
      </w:pPr>
    </w:p>
    <w:p w:rsidR="00F20A3C" w:rsidRPr="00790AC8" w:rsidRDefault="00F20A3C" w:rsidP="00F20A3C">
      <w:pPr>
        <w:ind w:left="851" w:right="-1" w:hanging="2"/>
        <w:rPr>
          <w:i/>
          <w:color w:val="000000"/>
          <w:lang w:val="kk-KZ"/>
        </w:rPr>
      </w:pPr>
      <w:r w:rsidRPr="00790AC8">
        <w:rPr>
          <w:i/>
          <w:color w:val="000000"/>
          <w:szCs w:val="28"/>
          <w:lang w:val="kk-KZ"/>
        </w:rPr>
        <w:t>№</w:t>
      </w:r>
      <w:r w:rsidR="00A2670C">
        <w:rPr>
          <w:i/>
          <w:color w:val="000000"/>
          <w:szCs w:val="28"/>
          <w:lang w:val="kk-KZ"/>
        </w:rPr>
        <w:t xml:space="preserve"> </w:t>
      </w:r>
      <w:r w:rsidRPr="00790AC8">
        <w:rPr>
          <w:i/>
          <w:color w:val="000000"/>
          <w:lang w:val="kk-KZ"/>
        </w:rPr>
        <w:t>ДС-118</w:t>
      </w:r>
    </w:p>
    <w:p w:rsidR="00F20A3C" w:rsidRPr="00790AC8" w:rsidRDefault="00F20A3C" w:rsidP="00F20A3C">
      <w:pPr>
        <w:ind w:left="851" w:right="-1" w:hanging="2"/>
        <w:rPr>
          <w:i/>
          <w:color w:val="000000"/>
        </w:rPr>
      </w:pPr>
      <w:r w:rsidRPr="00790AC8">
        <w:rPr>
          <w:i/>
          <w:color w:val="000000"/>
        </w:rPr>
        <w:t xml:space="preserve">от </w:t>
      </w:r>
      <w:r w:rsidRPr="00790AC8">
        <w:rPr>
          <w:i/>
          <w:color w:val="000000"/>
          <w:lang w:val="kk-KZ"/>
        </w:rPr>
        <w:t>28</w:t>
      </w:r>
      <w:r w:rsidRPr="00790AC8">
        <w:rPr>
          <w:i/>
          <w:color w:val="000000"/>
        </w:rPr>
        <w:t>.0</w:t>
      </w:r>
      <w:r w:rsidRPr="00790AC8">
        <w:rPr>
          <w:i/>
          <w:color w:val="000000"/>
          <w:lang w:val="kk-KZ"/>
        </w:rPr>
        <w:t>4</w:t>
      </w:r>
      <w:r w:rsidRPr="00790AC8">
        <w:rPr>
          <w:i/>
          <w:color w:val="000000"/>
        </w:rPr>
        <w:t>.2023г.</w:t>
      </w:r>
    </w:p>
    <w:p w:rsidR="00F20A3C" w:rsidRPr="00790AC8" w:rsidRDefault="00F20A3C" w:rsidP="00F20A3C">
      <w:pPr>
        <w:ind w:left="5114" w:right="-1" w:hanging="2"/>
        <w:jc w:val="right"/>
        <w:rPr>
          <w:b/>
          <w:color w:val="000000"/>
        </w:rPr>
      </w:pPr>
    </w:p>
    <w:p w:rsidR="00F20A3C" w:rsidRPr="00790AC8" w:rsidRDefault="00F20A3C" w:rsidP="00F20A3C">
      <w:pPr>
        <w:jc w:val="center"/>
        <w:rPr>
          <w:b/>
          <w:sz w:val="28"/>
          <w:szCs w:val="28"/>
          <w:lang w:val="kk-KZ"/>
        </w:rPr>
      </w:pPr>
      <w:r w:rsidRPr="00790AC8">
        <w:rPr>
          <w:b/>
          <w:sz w:val="28"/>
          <w:szCs w:val="28"/>
          <w:lang w:val="kk-KZ"/>
        </w:rPr>
        <w:t>Уважаемый Елнур Сабыржанович!</w:t>
      </w:r>
    </w:p>
    <w:p w:rsidR="00F20A3C" w:rsidRPr="00790AC8" w:rsidRDefault="00F20A3C" w:rsidP="00F20A3C">
      <w:pPr>
        <w:pBdr>
          <w:bottom w:val="single" w:sz="4" w:space="0" w:color="FFFFFF"/>
        </w:pBdr>
        <w:autoSpaceDE w:val="0"/>
        <w:autoSpaceDN w:val="0"/>
        <w:adjustRightInd w:val="0"/>
        <w:ind w:firstLine="709"/>
        <w:jc w:val="both"/>
        <w:rPr>
          <w:color w:val="000000"/>
          <w:lang w:val="kk-KZ"/>
        </w:rPr>
      </w:pPr>
    </w:p>
    <w:p w:rsidR="00F20A3C" w:rsidRPr="00790AC8" w:rsidRDefault="00F20A3C" w:rsidP="00F20A3C">
      <w:pPr>
        <w:ind w:firstLine="709"/>
        <w:jc w:val="both"/>
        <w:rPr>
          <w:sz w:val="28"/>
          <w:szCs w:val="28"/>
        </w:rPr>
      </w:pPr>
      <w:r w:rsidRPr="00790AC8">
        <w:rPr>
          <w:sz w:val="28"/>
          <w:szCs w:val="28"/>
        </w:rPr>
        <w:t xml:space="preserve">Агентство </w:t>
      </w:r>
      <w:r w:rsidRPr="00790AC8">
        <w:rPr>
          <w:sz w:val="28"/>
          <w:szCs w:val="28"/>
          <w:lang w:val="kk-KZ"/>
        </w:rPr>
        <w:t xml:space="preserve">по </w:t>
      </w:r>
      <w:r w:rsidRPr="00790AC8">
        <w:rPr>
          <w:sz w:val="28"/>
          <w:szCs w:val="28"/>
        </w:rPr>
        <w:t>стратегическо</w:t>
      </w:r>
      <w:r w:rsidRPr="00790AC8">
        <w:rPr>
          <w:sz w:val="28"/>
          <w:szCs w:val="28"/>
          <w:lang w:val="kk-KZ"/>
        </w:rPr>
        <w:t xml:space="preserve">му </w:t>
      </w:r>
      <w:r w:rsidRPr="00790AC8">
        <w:rPr>
          <w:sz w:val="28"/>
          <w:szCs w:val="28"/>
        </w:rPr>
        <w:t>планированию и реформам Республики Казахстан (далее – АСПиР) как уполномоченный орган по государственной статистике формирует официальную информацию по различным отраслям, в том числе по ценам, заработн</w:t>
      </w:r>
      <w:r w:rsidRPr="00790AC8">
        <w:rPr>
          <w:sz w:val="28"/>
          <w:szCs w:val="28"/>
          <w:lang w:val="kk-KZ"/>
        </w:rPr>
        <w:t xml:space="preserve">ой </w:t>
      </w:r>
      <w:r w:rsidRPr="00790AC8">
        <w:rPr>
          <w:sz w:val="28"/>
          <w:szCs w:val="28"/>
        </w:rPr>
        <w:t>плат</w:t>
      </w:r>
      <w:r w:rsidRPr="00790AC8">
        <w:rPr>
          <w:sz w:val="28"/>
          <w:szCs w:val="28"/>
          <w:lang w:val="kk-KZ"/>
        </w:rPr>
        <w:t>е</w:t>
      </w:r>
      <w:r w:rsidRPr="00790AC8">
        <w:rPr>
          <w:sz w:val="28"/>
          <w:szCs w:val="28"/>
        </w:rPr>
        <w:t xml:space="preserve"> и занятости населения.</w:t>
      </w:r>
    </w:p>
    <w:p w:rsidR="00F20A3C" w:rsidRPr="00790AC8" w:rsidRDefault="00F20A3C" w:rsidP="00F20A3C">
      <w:pPr>
        <w:ind w:firstLine="709"/>
        <w:jc w:val="both"/>
        <w:rPr>
          <w:sz w:val="28"/>
          <w:szCs w:val="28"/>
        </w:rPr>
      </w:pPr>
      <w:r w:rsidRPr="00790AC8">
        <w:rPr>
          <w:sz w:val="28"/>
          <w:szCs w:val="28"/>
        </w:rPr>
        <w:t xml:space="preserve">В целях совершенствования процесса статистического производства и повышения доверия к официальной статистике принимаются комплексные меры в рамках поручения Главы государства от 29 декабря 2022 года </w:t>
      </w:r>
      <w:r w:rsidRPr="00790AC8">
        <w:rPr>
          <w:sz w:val="28"/>
          <w:szCs w:val="28"/>
        </w:rPr>
        <w:br/>
        <w:t>№22-6306-01 и Дорожной карты, принятой АСПиР в ее реализацию.</w:t>
      </w:r>
    </w:p>
    <w:p w:rsidR="00F20A3C" w:rsidRPr="00790AC8" w:rsidRDefault="00F20A3C" w:rsidP="00F20A3C">
      <w:pPr>
        <w:numPr>
          <w:ilvl w:val="0"/>
          <w:numId w:val="15"/>
        </w:numPr>
        <w:ind w:left="0" w:firstLine="709"/>
        <w:contextualSpacing/>
        <w:jc w:val="both"/>
        <w:rPr>
          <w:b/>
          <w:i/>
          <w:sz w:val="28"/>
          <w:szCs w:val="28"/>
        </w:rPr>
      </w:pPr>
      <w:r w:rsidRPr="00790AC8">
        <w:rPr>
          <w:b/>
          <w:i/>
          <w:sz w:val="28"/>
          <w:szCs w:val="28"/>
        </w:rPr>
        <w:t>Касательно инфляции и уровня цен</w:t>
      </w:r>
      <w:r w:rsidRPr="00790AC8">
        <w:rPr>
          <w:b/>
          <w:i/>
          <w:sz w:val="28"/>
          <w:szCs w:val="28"/>
          <w:lang w:val="kk-KZ"/>
        </w:rPr>
        <w:t>.</w:t>
      </w:r>
    </w:p>
    <w:p w:rsidR="00F20A3C" w:rsidRPr="00790AC8" w:rsidRDefault="00F20A3C" w:rsidP="00F20A3C">
      <w:pPr>
        <w:ind w:firstLine="709"/>
        <w:jc w:val="both"/>
        <w:rPr>
          <w:sz w:val="28"/>
          <w:szCs w:val="28"/>
        </w:rPr>
      </w:pPr>
      <w:r w:rsidRPr="00790AC8">
        <w:rPr>
          <w:sz w:val="28"/>
          <w:szCs w:val="28"/>
        </w:rPr>
        <w:t xml:space="preserve">При формировании инфляции мониторинг цен осуществляется </w:t>
      </w:r>
      <w:r w:rsidRPr="00790AC8">
        <w:rPr>
          <w:color w:val="000000"/>
          <w:sz w:val="28"/>
          <w:szCs w:val="28"/>
          <w:lang w:val="kk-KZ"/>
        </w:rPr>
        <w:t>по</w:t>
      </w:r>
      <w:r w:rsidR="00F061E1">
        <w:rPr>
          <w:color w:val="000000"/>
          <w:sz w:val="28"/>
          <w:szCs w:val="28"/>
          <w:lang w:val="kk-KZ"/>
        </w:rPr>
        <w:t xml:space="preserve"> </w:t>
      </w:r>
      <w:r w:rsidR="00F00838">
        <w:rPr>
          <w:color w:val="000000"/>
          <w:sz w:val="28"/>
          <w:szCs w:val="28"/>
          <w:lang w:val="kk-KZ"/>
        </w:rPr>
        <w:br/>
      </w:r>
      <w:r w:rsidRPr="00790AC8">
        <w:rPr>
          <w:color w:val="000000"/>
          <w:sz w:val="28"/>
          <w:szCs w:val="28"/>
          <w:lang w:val="kk-KZ"/>
        </w:rPr>
        <w:t xml:space="preserve">508 наименованиям товаров и услуг </w:t>
      </w:r>
      <w:r w:rsidRPr="00790AC8">
        <w:rPr>
          <w:sz w:val="28"/>
          <w:szCs w:val="28"/>
          <w:lang w:val="kk-KZ"/>
        </w:rPr>
        <w:t xml:space="preserve">в Казахстане </w:t>
      </w:r>
      <w:r w:rsidRPr="00790AC8">
        <w:rPr>
          <w:sz w:val="28"/>
          <w:szCs w:val="28"/>
        </w:rPr>
        <w:t xml:space="preserve">согласно </w:t>
      </w:r>
      <w:r w:rsidRPr="00790AC8">
        <w:rPr>
          <w:color w:val="000000"/>
          <w:sz w:val="28"/>
          <w:szCs w:val="28"/>
          <w:lang w:val="kk-KZ"/>
        </w:rPr>
        <w:t xml:space="preserve">международным стандартам. Ежемесячно работники Бюро национальной статистики АСПиР </w:t>
      </w:r>
      <w:r w:rsidRPr="00790AC8">
        <w:rPr>
          <w:color w:val="000000"/>
          <w:sz w:val="28"/>
          <w:szCs w:val="28"/>
        </w:rPr>
        <w:t>(</w:t>
      </w:r>
      <w:r w:rsidRPr="00790AC8">
        <w:rPr>
          <w:sz w:val="28"/>
          <w:szCs w:val="28"/>
        </w:rPr>
        <w:t xml:space="preserve">далее – </w:t>
      </w:r>
      <w:r w:rsidRPr="00790AC8">
        <w:rPr>
          <w:color w:val="000000"/>
          <w:sz w:val="28"/>
          <w:szCs w:val="28"/>
        </w:rPr>
        <w:t xml:space="preserve">Бюро) </w:t>
      </w:r>
      <w:r w:rsidRPr="00790AC8">
        <w:rPr>
          <w:color w:val="000000"/>
          <w:sz w:val="28"/>
          <w:szCs w:val="28"/>
          <w:lang w:val="kk-KZ"/>
        </w:rPr>
        <w:t xml:space="preserve">регистрируют цены по выборочному кругу объектов </w:t>
      </w:r>
      <w:r w:rsidRPr="00790AC8">
        <w:rPr>
          <w:sz w:val="28"/>
          <w:szCs w:val="28"/>
        </w:rPr>
        <w:t>торговли (торговые сети, рынки, магазины у дома) с широким ассортиментом товаров, расположенных в различных частях населенного пункта.</w:t>
      </w:r>
    </w:p>
    <w:p w:rsidR="00F20A3C" w:rsidRPr="00790AC8" w:rsidRDefault="00F20A3C" w:rsidP="00F20A3C">
      <w:pPr>
        <w:ind w:firstLine="709"/>
        <w:jc w:val="both"/>
        <w:rPr>
          <w:sz w:val="28"/>
          <w:szCs w:val="28"/>
        </w:rPr>
      </w:pPr>
      <w:r w:rsidRPr="00790AC8">
        <w:rPr>
          <w:sz w:val="28"/>
          <w:szCs w:val="28"/>
        </w:rPr>
        <w:t xml:space="preserve">Так, в регулярном обследовании по всей территории Республики Казахстан участвуют более 12 тысяч объектов торговли в 85 населенных пунктах. </w:t>
      </w:r>
    </w:p>
    <w:p w:rsidR="00F20A3C" w:rsidRPr="00790AC8" w:rsidRDefault="00F20A3C" w:rsidP="00F20A3C">
      <w:pPr>
        <w:ind w:firstLine="709"/>
        <w:jc w:val="both"/>
        <w:rPr>
          <w:sz w:val="28"/>
          <w:szCs w:val="28"/>
        </w:rPr>
      </w:pPr>
      <w:r w:rsidRPr="00790AC8">
        <w:rPr>
          <w:sz w:val="28"/>
          <w:szCs w:val="28"/>
        </w:rPr>
        <w:t>Для разъяснения расчета инфляции приведем пример на основе лука репчатого (далее – лук) по г.Астана.</w:t>
      </w:r>
    </w:p>
    <w:p w:rsidR="00F20A3C" w:rsidRPr="00F00838" w:rsidRDefault="00F20A3C" w:rsidP="00F00838">
      <w:pPr>
        <w:ind w:firstLine="709"/>
        <w:jc w:val="both"/>
        <w:rPr>
          <w:color w:val="000000"/>
          <w:sz w:val="28"/>
          <w:szCs w:val="28"/>
          <w:lang w:val="kk-KZ"/>
        </w:rPr>
      </w:pPr>
      <w:r w:rsidRPr="00790AC8">
        <w:rPr>
          <w:sz w:val="28"/>
          <w:szCs w:val="28"/>
        </w:rPr>
        <w:t xml:space="preserve">Всего по г.Астана в наблюдении участвует 426 базовых объектов, где наблюдаются цены по 508 </w:t>
      </w:r>
      <w:r w:rsidRPr="00790AC8">
        <w:rPr>
          <w:color w:val="000000"/>
          <w:sz w:val="28"/>
          <w:szCs w:val="28"/>
        </w:rPr>
        <w:t>товарам и услугам, из них в 12 объектах наблюдаются цены на лук. На конец апреля т.г. диапазон цен на лук в этих</w:t>
      </w:r>
      <w:r w:rsidR="00F061E1">
        <w:rPr>
          <w:color w:val="000000"/>
          <w:sz w:val="28"/>
          <w:szCs w:val="28"/>
        </w:rPr>
        <w:t xml:space="preserve"> </w:t>
      </w:r>
      <w:r w:rsidR="00F00838">
        <w:rPr>
          <w:color w:val="000000"/>
          <w:sz w:val="28"/>
          <w:szCs w:val="28"/>
          <w:lang w:val="kk-KZ"/>
        </w:rPr>
        <w:br/>
      </w:r>
      <w:r w:rsidRPr="00790AC8">
        <w:rPr>
          <w:color w:val="000000"/>
          <w:sz w:val="28"/>
          <w:szCs w:val="28"/>
        </w:rPr>
        <w:t xml:space="preserve">12 объектах торговли варьировался от 151 до 300 тенге за килограмм. В результате средняя цена на лук на конец апреля т.г. по г.Астана составила </w:t>
      </w:r>
      <w:r w:rsidR="00F00838">
        <w:rPr>
          <w:color w:val="000000"/>
          <w:sz w:val="28"/>
          <w:szCs w:val="28"/>
          <w:lang w:val="kk-KZ"/>
        </w:rPr>
        <w:br/>
      </w:r>
      <w:r w:rsidRPr="00790AC8">
        <w:rPr>
          <w:color w:val="000000"/>
          <w:sz w:val="28"/>
          <w:szCs w:val="28"/>
        </w:rPr>
        <w:t xml:space="preserve">202 тенге за килограмм. По сравнению с апрелем 2022 года цена на лук выросла на 31 тенге или 18,1% в г. Астана. </w:t>
      </w:r>
    </w:p>
    <w:p w:rsidR="00F20A3C" w:rsidRPr="00790AC8" w:rsidRDefault="00F20A3C" w:rsidP="00F20A3C">
      <w:pPr>
        <w:ind w:firstLine="709"/>
        <w:jc w:val="both"/>
        <w:rPr>
          <w:sz w:val="28"/>
          <w:szCs w:val="28"/>
        </w:rPr>
      </w:pPr>
      <w:r w:rsidRPr="00790AC8">
        <w:rPr>
          <w:sz w:val="28"/>
          <w:szCs w:val="28"/>
        </w:rPr>
        <w:lastRenderedPageBreak/>
        <w:t>По каждой из 508 позиций потребительской корзины наблюдается свое индивидуальное изменение цен. Например, по итогам апреля т.г. в годовом исчислении (за 12 месяцев) в среднем по республике цены на сахар-рафинад выросли на 51,7%, огурцы – на 50,9%, молоко консервированное – на 44,5%, рис – на 43,9%, курагу – на 40,8%, сыры плавленные – на 39,1%.</w:t>
      </w:r>
    </w:p>
    <w:p w:rsidR="00F20A3C" w:rsidRPr="00790AC8" w:rsidRDefault="00F20A3C" w:rsidP="00F20A3C">
      <w:pPr>
        <w:ind w:firstLine="709"/>
        <w:jc w:val="both"/>
        <w:rPr>
          <w:sz w:val="28"/>
          <w:szCs w:val="28"/>
        </w:rPr>
      </w:pPr>
      <w:r w:rsidRPr="00790AC8">
        <w:rPr>
          <w:sz w:val="28"/>
          <w:szCs w:val="28"/>
        </w:rPr>
        <w:t>На фоне опережающего роста цен по этим товарам у потребителей зачастую формируется мнение, что инфляция (средневзвешенный рост цен по всем</w:t>
      </w:r>
      <w:r w:rsidR="00721B16">
        <w:rPr>
          <w:sz w:val="28"/>
          <w:szCs w:val="28"/>
        </w:rPr>
        <w:br/>
      </w:r>
      <w:r w:rsidRPr="00790AC8">
        <w:rPr>
          <w:sz w:val="28"/>
          <w:szCs w:val="28"/>
        </w:rPr>
        <w:t>508 позициям) должна быть выше официально публикуемых значений.</w:t>
      </w:r>
    </w:p>
    <w:p w:rsidR="00F20A3C" w:rsidRPr="00790AC8" w:rsidRDefault="00F20A3C" w:rsidP="00F20A3C">
      <w:pPr>
        <w:ind w:firstLine="709"/>
        <w:jc w:val="both"/>
        <w:rPr>
          <w:sz w:val="28"/>
          <w:szCs w:val="28"/>
        </w:rPr>
      </w:pPr>
      <w:r w:rsidRPr="00790AC8">
        <w:rPr>
          <w:sz w:val="28"/>
          <w:szCs w:val="28"/>
        </w:rPr>
        <w:t>Однако следует учитывать, что н</w:t>
      </w:r>
      <w:r w:rsidRPr="00790AC8">
        <w:rPr>
          <w:iCs/>
          <w:sz w:val="28"/>
          <w:szCs w:val="28"/>
        </w:rPr>
        <w:t xml:space="preserve">а некоторые товары цены растут быстрее, на другие – медленнее, а на третьи – напротив, снижаются. Так, по итогам апреля т.г. в </w:t>
      </w:r>
      <w:r w:rsidRPr="00790AC8">
        <w:rPr>
          <w:sz w:val="28"/>
          <w:szCs w:val="28"/>
        </w:rPr>
        <w:t>годовом исчислении (за 12 месяцев) в среднем по республике конина подорожала на 11,9%, колбаса сырокопченая – на 11,6%, говядина – на 11,1%, перец сладкий – на 9,5%, баранина – на 9,3%, масло подсолнечное – на 8,3%, яблоки – на 7,5%. В то же время наблюдалось снижение цен на капусту на 53,4%, морковь – на 19,2%, чеснок – на 15,9%, картофель – на 13,9%.</w:t>
      </w:r>
    </w:p>
    <w:p w:rsidR="00F20A3C" w:rsidRPr="00790AC8" w:rsidRDefault="00F20A3C" w:rsidP="00F20A3C">
      <w:pPr>
        <w:ind w:firstLine="709"/>
        <w:jc w:val="both"/>
        <w:rPr>
          <w:sz w:val="28"/>
          <w:szCs w:val="28"/>
        </w:rPr>
      </w:pPr>
      <w:r w:rsidRPr="00790AC8">
        <w:rPr>
          <w:sz w:val="28"/>
          <w:szCs w:val="28"/>
        </w:rPr>
        <w:t>Также следует учитывать, что рост цен в каждом регионе носит индивидуальный характер. На примере лука, средний рост цены за год по всей республике составил 35,3%. В то же время, в Атырауской области за 12 месяцев лук подорожал на 69,3%, в Абай – на 63,5%, в Карагандинской – на 59,2%, в Восточно-Казахстанской – на 56,7% и т.д.</w:t>
      </w:r>
    </w:p>
    <w:p w:rsidR="00F20A3C" w:rsidRPr="00790AC8" w:rsidRDefault="00F20A3C" w:rsidP="00F20A3C">
      <w:pPr>
        <w:ind w:firstLine="709"/>
        <w:jc w:val="both"/>
        <w:rPr>
          <w:iCs/>
          <w:sz w:val="28"/>
          <w:szCs w:val="28"/>
        </w:rPr>
      </w:pPr>
      <w:r w:rsidRPr="00790AC8">
        <w:rPr>
          <w:color w:val="000000"/>
          <w:sz w:val="28"/>
          <w:szCs w:val="28"/>
        </w:rPr>
        <w:t xml:space="preserve">У каждого товара в потребительской корзине имеется свой вес, </w:t>
      </w:r>
      <w:r w:rsidRPr="00790AC8">
        <w:rPr>
          <w:iCs/>
          <w:sz w:val="28"/>
          <w:szCs w:val="28"/>
        </w:rPr>
        <w:t>определяемый на основе расходов домашних хозяйств</w:t>
      </w:r>
      <w:r w:rsidRPr="00790AC8">
        <w:rPr>
          <w:color w:val="000000"/>
          <w:sz w:val="28"/>
          <w:szCs w:val="28"/>
        </w:rPr>
        <w:t xml:space="preserve">. Например, вес лука составляет 0,3% в потребительской корзине. </w:t>
      </w:r>
      <w:r w:rsidRPr="00790AC8">
        <w:rPr>
          <w:iCs/>
          <w:sz w:val="28"/>
          <w:szCs w:val="28"/>
        </w:rPr>
        <w:t xml:space="preserve">На основе веса товара определяется его вклад в инфляцию. </w:t>
      </w:r>
    </w:p>
    <w:p w:rsidR="00F20A3C" w:rsidRPr="00790AC8" w:rsidRDefault="00F20A3C" w:rsidP="00F20A3C">
      <w:pPr>
        <w:ind w:firstLine="709"/>
        <w:jc w:val="both"/>
        <w:rPr>
          <w:iCs/>
          <w:sz w:val="28"/>
          <w:szCs w:val="28"/>
        </w:rPr>
      </w:pPr>
      <w:r w:rsidRPr="00790AC8">
        <w:rPr>
          <w:iCs/>
          <w:sz w:val="28"/>
          <w:szCs w:val="28"/>
        </w:rPr>
        <w:t>Таким образом, инфляция является средневзвешенным значением изменения цен на все товары и услуги в составе потребительской корзины.</w:t>
      </w:r>
    </w:p>
    <w:p w:rsidR="00F20A3C" w:rsidRPr="00790AC8" w:rsidRDefault="00F20A3C" w:rsidP="00F20A3C">
      <w:pPr>
        <w:ind w:firstLine="709"/>
        <w:jc w:val="both"/>
        <w:rPr>
          <w:color w:val="000000"/>
          <w:sz w:val="28"/>
          <w:szCs w:val="28"/>
        </w:rPr>
      </w:pPr>
      <w:r w:rsidRPr="00790AC8">
        <w:rPr>
          <w:color w:val="000000"/>
          <w:sz w:val="28"/>
          <w:szCs w:val="28"/>
        </w:rPr>
        <w:t xml:space="preserve">По итогам апреля 2023 года инфляция в Республике Казахстан в годовом выражении составила 16,8% (в марте 2023 года – 18,1%), в месячном выражении – 0,9% (в марте – 0,9%). </w:t>
      </w:r>
    </w:p>
    <w:p w:rsidR="00F20A3C" w:rsidRPr="00790AC8" w:rsidRDefault="00F20A3C" w:rsidP="00F20A3C">
      <w:pPr>
        <w:ind w:firstLine="709"/>
        <w:jc w:val="both"/>
        <w:rPr>
          <w:b/>
          <w:color w:val="000000"/>
          <w:sz w:val="28"/>
        </w:rPr>
      </w:pPr>
      <w:r w:rsidRPr="00790AC8">
        <w:rPr>
          <w:color w:val="000000"/>
          <w:sz w:val="28"/>
          <w:szCs w:val="28"/>
        </w:rPr>
        <w:t>Для информации приводим также уровень инфляции по странам ЕАЭС.</w:t>
      </w:r>
    </w:p>
    <w:p w:rsidR="00F20A3C" w:rsidRPr="00790AC8" w:rsidRDefault="00F20A3C" w:rsidP="00F20A3C">
      <w:pPr>
        <w:spacing w:before="120" w:after="120"/>
        <w:ind w:firstLine="709"/>
        <w:jc w:val="center"/>
        <w:rPr>
          <w:b/>
          <w:color w:val="000000"/>
        </w:rPr>
      </w:pPr>
      <w:r w:rsidRPr="00790AC8">
        <w:rPr>
          <w:b/>
          <w:color w:val="000000"/>
        </w:rPr>
        <w:t>Годовая инфляция в странах ЕАЭС, в %</w:t>
      </w:r>
    </w:p>
    <w:tbl>
      <w:tblPr>
        <w:tblW w:w="9650" w:type="dxa"/>
        <w:tblInd w:w="97" w:type="dxa"/>
        <w:tblLayout w:type="fixed"/>
        <w:tblLook w:val="04A0"/>
      </w:tblPr>
      <w:tblGrid>
        <w:gridCol w:w="1343"/>
        <w:gridCol w:w="952"/>
        <w:gridCol w:w="953"/>
        <w:gridCol w:w="953"/>
        <w:gridCol w:w="953"/>
        <w:gridCol w:w="953"/>
        <w:gridCol w:w="885"/>
        <w:gridCol w:w="957"/>
        <w:gridCol w:w="815"/>
        <w:gridCol w:w="886"/>
      </w:tblGrid>
      <w:tr w:rsidR="00F20A3C" w:rsidRPr="00790AC8" w:rsidTr="00F20A3C">
        <w:trPr>
          <w:trHeight w:val="318"/>
        </w:trPr>
        <w:tc>
          <w:tcPr>
            <w:tcW w:w="1343" w:type="dxa"/>
            <w:vMerge w:val="restart"/>
            <w:tcBorders>
              <w:top w:val="single" w:sz="4" w:space="0" w:color="auto"/>
              <w:left w:val="nil"/>
              <w:bottom w:val="single" w:sz="4" w:space="0" w:color="000000"/>
              <w:right w:val="single" w:sz="4" w:space="0" w:color="auto"/>
            </w:tcBorders>
            <w:shd w:val="clear" w:color="auto" w:fill="auto"/>
            <w:noWrap/>
            <w:vAlign w:val="bottom"/>
            <w:hideMark/>
          </w:tcPr>
          <w:p w:rsidR="00F20A3C" w:rsidRPr="00790AC8" w:rsidRDefault="00F20A3C" w:rsidP="00F20A3C">
            <w:pPr>
              <w:jc w:val="center"/>
              <w:rPr>
                <w:sz w:val="20"/>
                <w:szCs w:val="20"/>
              </w:rPr>
            </w:pPr>
            <w:bookmarkStart w:id="0" w:name="_GoBack" w:colFirst="1" w:colLast="9"/>
            <w:r w:rsidRPr="00790AC8">
              <w:rPr>
                <w:sz w:val="20"/>
                <w:szCs w:val="20"/>
              </w:rPr>
              <w:t> </w:t>
            </w:r>
          </w:p>
        </w:tc>
        <w:tc>
          <w:tcPr>
            <w:tcW w:w="952" w:type="dxa"/>
            <w:vMerge w:val="restart"/>
            <w:tcBorders>
              <w:top w:val="single" w:sz="4" w:space="0" w:color="auto"/>
              <w:left w:val="nil"/>
              <w:bottom w:val="single" w:sz="4" w:space="0" w:color="000000"/>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Декабрь 2022г.</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Январь 2023г.</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Февраль 2023г.</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Март 2023г.</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Апрель 2023г.</w:t>
            </w:r>
          </w:p>
        </w:tc>
        <w:tc>
          <w:tcPr>
            <w:tcW w:w="3543" w:type="dxa"/>
            <w:gridSpan w:val="4"/>
            <w:tcBorders>
              <w:top w:val="single" w:sz="4" w:space="0" w:color="auto"/>
              <w:left w:val="nil"/>
              <w:bottom w:val="single" w:sz="4" w:space="0" w:color="auto"/>
            </w:tcBorders>
            <w:shd w:val="clear" w:color="auto" w:fill="auto"/>
            <w:noWrap/>
            <w:vAlign w:val="center"/>
            <w:hideMark/>
          </w:tcPr>
          <w:p w:rsidR="00F20A3C" w:rsidRPr="00790AC8" w:rsidRDefault="00F20A3C" w:rsidP="00F20A3C">
            <w:pPr>
              <w:jc w:val="center"/>
              <w:rPr>
                <w:sz w:val="20"/>
                <w:szCs w:val="20"/>
              </w:rPr>
            </w:pPr>
            <w:r w:rsidRPr="00790AC8">
              <w:rPr>
                <w:sz w:val="20"/>
                <w:szCs w:val="20"/>
              </w:rPr>
              <w:t>Справочно:</w:t>
            </w:r>
          </w:p>
        </w:tc>
      </w:tr>
      <w:tr w:rsidR="00F20A3C" w:rsidRPr="00790AC8" w:rsidTr="00F20A3C">
        <w:trPr>
          <w:trHeight w:val="635"/>
        </w:trPr>
        <w:tc>
          <w:tcPr>
            <w:tcW w:w="1343" w:type="dxa"/>
            <w:vMerge/>
            <w:tcBorders>
              <w:top w:val="single" w:sz="4" w:space="0" w:color="auto"/>
              <w:left w:val="nil"/>
              <w:bottom w:val="single" w:sz="4" w:space="0" w:color="000000"/>
              <w:right w:val="single" w:sz="4" w:space="0" w:color="auto"/>
            </w:tcBorders>
            <w:vAlign w:val="center"/>
            <w:hideMark/>
          </w:tcPr>
          <w:p w:rsidR="00F20A3C" w:rsidRPr="00790AC8" w:rsidRDefault="00F20A3C" w:rsidP="00F20A3C">
            <w:pPr>
              <w:rPr>
                <w:sz w:val="20"/>
                <w:szCs w:val="20"/>
              </w:rPr>
            </w:pPr>
          </w:p>
        </w:tc>
        <w:tc>
          <w:tcPr>
            <w:tcW w:w="952" w:type="dxa"/>
            <w:vMerge/>
            <w:tcBorders>
              <w:top w:val="single" w:sz="4" w:space="0" w:color="auto"/>
              <w:left w:val="nil"/>
              <w:bottom w:val="single" w:sz="4" w:space="0" w:color="000000"/>
              <w:right w:val="single" w:sz="4" w:space="0" w:color="auto"/>
            </w:tcBorders>
            <w:vAlign w:val="center"/>
            <w:hideMark/>
          </w:tcPr>
          <w:p w:rsidR="00F20A3C" w:rsidRPr="00790AC8" w:rsidRDefault="00F20A3C" w:rsidP="00F20A3C">
            <w:pPr>
              <w:jc w:val="center"/>
              <w:rPr>
                <w:sz w:val="20"/>
                <w:szCs w:val="20"/>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F20A3C" w:rsidRPr="00790AC8" w:rsidRDefault="00F20A3C" w:rsidP="00F20A3C">
            <w:pPr>
              <w:jc w:val="center"/>
              <w:rPr>
                <w:sz w:val="20"/>
                <w:szCs w:val="20"/>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F20A3C" w:rsidRPr="00790AC8" w:rsidRDefault="00F20A3C" w:rsidP="00F20A3C">
            <w:pPr>
              <w:jc w:val="center"/>
              <w:rPr>
                <w:sz w:val="20"/>
                <w:szCs w:val="20"/>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F20A3C" w:rsidRPr="00790AC8" w:rsidRDefault="00F20A3C" w:rsidP="00F20A3C">
            <w:pPr>
              <w:jc w:val="center"/>
              <w:rPr>
                <w:sz w:val="20"/>
                <w:szCs w:val="20"/>
              </w:rPr>
            </w:pP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F20A3C" w:rsidRPr="00790AC8" w:rsidRDefault="00F20A3C" w:rsidP="00F20A3C">
            <w:pPr>
              <w:jc w:val="center"/>
              <w:rPr>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январь 2022г.</w:t>
            </w:r>
          </w:p>
        </w:tc>
        <w:tc>
          <w:tcPr>
            <w:tcW w:w="957" w:type="dxa"/>
            <w:tcBorders>
              <w:top w:val="nil"/>
              <w:left w:val="nil"/>
              <w:bottom w:val="single" w:sz="4" w:space="0" w:color="auto"/>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февраль 2022г.</w:t>
            </w:r>
          </w:p>
        </w:tc>
        <w:tc>
          <w:tcPr>
            <w:tcW w:w="815" w:type="dxa"/>
            <w:tcBorders>
              <w:top w:val="nil"/>
              <w:left w:val="nil"/>
              <w:bottom w:val="single" w:sz="4" w:space="0" w:color="auto"/>
              <w:right w:val="single" w:sz="4" w:space="0" w:color="auto"/>
            </w:tcBorders>
            <w:shd w:val="clear" w:color="auto" w:fill="auto"/>
            <w:vAlign w:val="center"/>
            <w:hideMark/>
          </w:tcPr>
          <w:p w:rsidR="00F20A3C" w:rsidRPr="00790AC8" w:rsidRDefault="00F20A3C" w:rsidP="00F20A3C">
            <w:pPr>
              <w:jc w:val="center"/>
              <w:rPr>
                <w:sz w:val="20"/>
                <w:szCs w:val="20"/>
              </w:rPr>
            </w:pPr>
            <w:r w:rsidRPr="00790AC8">
              <w:rPr>
                <w:sz w:val="20"/>
                <w:szCs w:val="20"/>
              </w:rPr>
              <w:t>март 2022г.</w:t>
            </w:r>
          </w:p>
        </w:tc>
        <w:tc>
          <w:tcPr>
            <w:tcW w:w="886" w:type="dxa"/>
            <w:tcBorders>
              <w:top w:val="nil"/>
              <w:left w:val="nil"/>
              <w:bottom w:val="single" w:sz="4" w:space="0" w:color="auto"/>
              <w:right w:val="nil"/>
            </w:tcBorders>
            <w:shd w:val="clear" w:color="auto" w:fill="auto"/>
            <w:vAlign w:val="center"/>
            <w:hideMark/>
          </w:tcPr>
          <w:p w:rsidR="00F20A3C" w:rsidRPr="00790AC8" w:rsidRDefault="00F20A3C" w:rsidP="00F20A3C">
            <w:pPr>
              <w:jc w:val="center"/>
              <w:rPr>
                <w:sz w:val="20"/>
                <w:szCs w:val="20"/>
              </w:rPr>
            </w:pPr>
            <w:r w:rsidRPr="00790AC8">
              <w:rPr>
                <w:sz w:val="20"/>
                <w:szCs w:val="20"/>
              </w:rPr>
              <w:t>апрель 2022г.</w:t>
            </w:r>
          </w:p>
        </w:tc>
      </w:tr>
      <w:bookmarkEnd w:id="0"/>
      <w:tr w:rsidR="00F20A3C" w:rsidRPr="00790AC8" w:rsidTr="00987C73">
        <w:trPr>
          <w:trHeight w:val="284"/>
        </w:trPr>
        <w:tc>
          <w:tcPr>
            <w:tcW w:w="1343" w:type="dxa"/>
            <w:tcBorders>
              <w:top w:val="nil"/>
              <w:left w:val="nil"/>
              <w:bottom w:val="nil"/>
              <w:right w:val="nil"/>
            </w:tcBorders>
            <w:shd w:val="clear" w:color="auto" w:fill="auto"/>
            <w:noWrap/>
            <w:vAlign w:val="bottom"/>
            <w:hideMark/>
          </w:tcPr>
          <w:p w:rsidR="00F20A3C" w:rsidRPr="00790AC8" w:rsidRDefault="00F20A3C" w:rsidP="00F20A3C">
            <w:pPr>
              <w:rPr>
                <w:b/>
                <w:sz w:val="20"/>
                <w:szCs w:val="20"/>
              </w:rPr>
            </w:pPr>
            <w:r w:rsidRPr="00790AC8">
              <w:rPr>
                <w:b/>
                <w:sz w:val="20"/>
                <w:szCs w:val="20"/>
              </w:rPr>
              <w:t>Казахстан</w:t>
            </w:r>
          </w:p>
        </w:tc>
        <w:tc>
          <w:tcPr>
            <w:tcW w:w="952" w:type="dxa"/>
            <w:tcBorders>
              <w:top w:val="nil"/>
              <w:left w:val="nil"/>
              <w:bottom w:val="nil"/>
              <w:right w:val="nil"/>
            </w:tcBorders>
            <w:shd w:val="clear" w:color="auto" w:fill="auto"/>
            <w:noWrap/>
            <w:vAlign w:val="bottom"/>
            <w:hideMark/>
          </w:tcPr>
          <w:p w:rsidR="00F20A3C" w:rsidRPr="00790AC8" w:rsidRDefault="00F20A3C" w:rsidP="00987C73">
            <w:pPr>
              <w:jc w:val="right"/>
              <w:rPr>
                <w:color w:val="000000"/>
                <w:sz w:val="20"/>
                <w:szCs w:val="20"/>
              </w:rPr>
            </w:pPr>
            <w:r w:rsidRPr="00790AC8">
              <w:rPr>
                <w:color w:val="000000"/>
                <w:sz w:val="20"/>
                <w:szCs w:val="20"/>
              </w:rPr>
              <w:t>20,3</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20,7</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21,3</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18,1</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16,8</w:t>
            </w:r>
          </w:p>
        </w:tc>
        <w:tc>
          <w:tcPr>
            <w:tcW w:w="885" w:type="dxa"/>
            <w:tcBorders>
              <w:top w:val="nil"/>
              <w:left w:val="nil"/>
              <w:bottom w:val="nil"/>
              <w:right w:val="nil"/>
            </w:tcBorders>
            <w:shd w:val="clear" w:color="auto" w:fill="auto"/>
            <w:noWrap/>
            <w:vAlign w:val="bottom"/>
            <w:hideMark/>
          </w:tcPr>
          <w:p w:rsidR="00F20A3C" w:rsidRPr="00790AC8" w:rsidRDefault="00F20A3C" w:rsidP="00987C73">
            <w:pPr>
              <w:jc w:val="right"/>
              <w:rPr>
                <w:color w:val="000000"/>
                <w:sz w:val="20"/>
                <w:szCs w:val="20"/>
              </w:rPr>
            </w:pPr>
            <w:r w:rsidRPr="00790AC8">
              <w:rPr>
                <w:color w:val="000000"/>
                <w:sz w:val="20"/>
                <w:szCs w:val="20"/>
              </w:rPr>
              <w:t>8,5</w:t>
            </w:r>
          </w:p>
        </w:tc>
        <w:tc>
          <w:tcPr>
            <w:tcW w:w="957" w:type="dxa"/>
            <w:tcBorders>
              <w:top w:val="nil"/>
              <w:left w:val="nil"/>
              <w:bottom w:val="nil"/>
              <w:right w:val="nil"/>
            </w:tcBorders>
            <w:shd w:val="clear" w:color="auto" w:fill="auto"/>
            <w:noWrap/>
            <w:vAlign w:val="bottom"/>
            <w:hideMark/>
          </w:tcPr>
          <w:p w:rsidR="00F20A3C" w:rsidRPr="00790AC8" w:rsidRDefault="00F20A3C" w:rsidP="00987C73">
            <w:pPr>
              <w:jc w:val="right"/>
              <w:rPr>
                <w:color w:val="000000"/>
                <w:sz w:val="20"/>
                <w:szCs w:val="20"/>
              </w:rPr>
            </w:pPr>
            <w:r w:rsidRPr="00790AC8">
              <w:rPr>
                <w:color w:val="000000"/>
                <w:sz w:val="20"/>
                <w:szCs w:val="20"/>
              </w:rPr>
              <w:t>8,7</w:t>
            </w:r>
          </w:p>
        </w:tc>
        <w:tc>
          <w:tcPr>
            <w:tcW w:w="815" w:type="dxa"/>
            <w:tcBorders>
              <w:top w:val="nil"/>
              <w:left w:val="nil"/>
              <w:bottom w:val="nil"/>
              <w:right w:val="nil"/>
            </w:tcBorders>
            <w:shd w:val="clear" w:color="auto" w:fill="auto"/>
            <w:noWrap/>
            <w:vAlign w:val="bottom"/>
            <w:hideMark/>
          </w:tcPr>
          <w:p w:rsidR="00F20A3C" w:rsidRPr="00790AC8" w:rsidRDefault="00F20A3C" w:rsidP="00987C73">
            <w:pPr>
              <w:jc w:val="right"/>
              <w:rPr>
                <w:color w:val="000000"/>
                <w:sz w:val="20"/>
                <w:szCs w:val="20"/>
              </w:rPr>
            </w:pPr>
            <w:r w:rsidRPr="00790AC8">
              <w:rPr>
                <w:color w:val="000000"/>
                <w:sz w:val="20"/>
                <w:szCs w:val="20"/>
              </w:rPr>
              <w:t>12,0</w:t>
            </w:r>
          </w:p>
        </w:tc>
        <w:tc>
          <w:tcPr>
            <w:tcW w:w="886" w:type="dxa"/>
            <w:tcBorders>
              <w:top w:val="nil"/>
              <w:left w:val="nil"/>
              <w:bottom w:val="nil"/>
              <w:right w:val="nil"/>
            </w:tcBorders>
            <w:shd w:val="clear" w:color="auto" w:fill="auto"/>
            <w:noWrap/>
            <w:vAlign w:val="bottom"/>
            <w:hideMark/>
          </w:tcPr>
          <w:p w:rsidR="00F20A3C" w:rsidRPr="00790AC8" w:rsidRDefault="00F20A3C" w:rsidP="00987C73">
            <w:pPr>
              <w:jc w:val="right"/>
              <w:rPr>
                <w:color w:val="000000"/>
                <w:sz w:val="20"/>
                <w:szCs w:val="20"/>
              </w:rPr>
            </w:pPr>
            <w:r w:rsidRPr="00790AC8">
              <w:rPr>
                <w:color w:val="000000"/>
                <w:sz w:val="20"/>
                <w:szCs w:val="20"/>
              </w:rPr>
              <w:t>13,2</w:t>
            </w:r>
          </w:p>
        </w:tc>
      </w:tr>
      <w:tr w:rsidR="00F20A3C" w:rsidRPr="00790AC8" w:rsidTr="00987C73">
        <w:trPr>
          <w:trHeight w:val="284"/>
        </w:trPr>
        <w:tc>
          <w:tcPr>
            <w:tcW w:w="1343" w:type="dxa"/>
            <w:tcBorders>
              <w:top w:val="nil"/>
              <w:left w:val="nil"/>
              <w:bottom w:val="nil"/>
              <w:right w:val="nil"/>
            </w:tcBorders>
            <w:shd w:val="clear" w:color="auto" w:fill="auto"/>
            <w:noWrap/>
            <w:vAlign w:val="bottom"/>
            <w:hideMark/>
          </w:tcPr>
          <w:p w:rsidR="00F20A3C" w:rsidRPr="00790AC8" w:rsidRDefault="00F20A3C" w:rsidP="00F20A3C">
            <w:pPr>
              <w:rPr>
                <w:sz w:val="20"/>
                <w:szCs w:val="20"/>
              </w:rPr>
            </w:pPr>
            <w:r w:rsidRPr="00790AC8">
              <w:rPr>
                <w:sz w:val="20"/>
                <w:szCs w:val="20"/>
              </w:rPr>
              <w:t>Россия</w:t>
            </w:r>
          </w:p>
        </w:tc>
        <w:tc>
          <w:tcPr>
            <w:tcW w:w="952"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11,9</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11,8</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11,0</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3,5</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w:t>
            </w:r>
          </w:p>
        </w:tc>
        <w:tc>
          <w:tcPr>
            <w:tcW w:w="885"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8,7</w:t>
            </w:r>
          </w:p>
        </w:tc>
        <w:tc>
          <w:tcPr>
            <w:tcW w:w="957"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9,2</w:t>
            </w:r>
          </w:p>
        </w:tc>
        <w:tc>
          <w:tcPr>
            <w:tcW w:w="815"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16,7</w:t>
            </w:r>
          </w:p>
        </w:tc>
        <w:tc>
          <w:tcPr>
            <w:tcW w:w="886"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17,8</w:t>
            </w:r>
          </w:p>
        </w:tc>
      </w:tr>
      <w:tr w:rsidR="00F20A3C" w:rsidRPr="00790AC8" w:rsidTr="00987C73">
        <w:trPr>
          <w:trHeight w:val="284"/>
        </w:trPr>
        <w:tc>
          <w:tcPr>
            <w:tcW w:w="1343" w:type="dxa"/>
            <w:tcBorders>
              <w:top w:val="nil"/>
              <w:left w:val="nil"/>
              <w:bottom w:val="nil"/>
              <w:right w:val="nil"/>
            </w:tcBorders>
            <w:shd w:val="clear" w:color="auto" w:fill="auto"/>
            <w:noWrap/>
            <w:vAlign w:val="bottom"/>
            <w:hideMark/>
          </w:tcPr>
          <w:p w:rsidR="00F20A3C" w:rsidRPr="00790AC8" w:rsidRDefault="00F20A3C" w:rsidP="00F20A3C">
            <w:pPr>
              <w:rPr>
                <w:sz w:val="20"/>
                <w:szCs w:val="20"/>
              </w:rPr>
            </w:pPr>
            <w:r w:rsidRPr="00790AC8">
              <w:rPr>
                <w:sz w:val="20"/>
                <w:szCs w:val="20"/>
              </w:rPr>
              <w:t>Беларусь</w:t>
            </w:r>
          </w:p>
        </w:tc>
        <w:tc>
          <w:tcPr>
            <w:tcW w:w="952"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12,8</w:t>
            </w:r>
          </w:p>
        </w:tc>
        <w:tc>
          <w:tcPr>
            <w:tcW w:w="953"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12,0</w:t>
            </w:r>
          </w:p>
        </w:tc>
        <w:tc>
          <w:tcPr>
            <w:tcW w:w="953"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11,7</w:t>
            </w:r>
          </w:p>
        </w:tc>
        <w:tc>
          <w:tcPr>
            <w:tcW w:w="953"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6,0</w:t>
            </w:r>
          </w:p>
        </w:tc>
        <w:tc>
          <w:tcPr>
            <w:tcW w:w="953"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w:t>
            </w:r>
          </w:p>
        </w:tc>
        <w:tc>
          <w:tcPr>
            <w:tcW w:w="885"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10,4</w:t>
            </w:r>
          </w:p>
        </w:tc>
        <w:tc>
          <w:tcPr>
            <w:tcW w:w="957"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10,0</w:t>
            </w:r>
          </w:p>
        </w:tc>
        <w:tc>
          <w:tcPr>
            <w:tcW w:w="815"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15,9</w:t>
            </w:r>
          </w:p>
        </w:tc>
        <w:tc>
          <w:tcPr>
            <w:tcW w:w="886" w:type="dxa"/>
            <w:tcBorders>
              <w:top w:val="nil"/>
              <w:left w:val="nil"/>
              <w:bottom w:val="nil"/>
              <w:right w:val="nil"/>
            </w:tcBorders>
            <w:shd w:val="clear" w:color="auto" w:fill="auto"/>
            <w:noWrap/>
            <w:vAlign w:val="bottom"/>
          </w:tcPr>
          <w:p w:rsidR="00F20A3C" w:rsidRPr="00790AC8" w:rsidRDefault="00F20A3C" w:rsidP="00987C73">
            <w:pPr>
              <w:jc w:val="right"/>
              <w:rPr>
                <w:sz w:val="20"/>
                <w:szCs w:val="20"/>
              </w:rPr>
            </w:pPr>
            <w:r w:rsidRPr="00790AC8">
              <w:rPr>
                <w:sz w:val="20"/>
                <w:szCs w:val="20"/>
              </w:rPr>
              <w:t>16,8</w:t>
            </w:r>
          </w:p>
        </w:tc>
      </w:tr>
      <w:tr w:rsidR="00F20A3C" w:rsidRPr="00790AC8" w:rsidTr="00987C73">
        <w:trPr>
          <w:trHeight w:val="284"/>
        </w:trPr>
        <w:tc>
          <w:tcPr>
            <w:tcW w:w="1343" w:type="dxa"/>
            <w:tcBorders>
              <w:top w:val="nil"/>
              <w:left w:val="nil"/>
              <w:bottom w:val="nil"/>
              <w:right w:val="nil"/>
            </w:tcBorders>
            <w:shd w:val="clear" w:color="auto" w:fill="auto"/>
            <w:noWrap/>
            <w:vAlign w:val="bottom"/>
            <w:hideMark/>
          </w:tcPr>
          <w:p w:rsidR="00F20A3C" w:rsidRPr="00790AC8" w:rsidRDefault="00F20A3C" w:rsidP="00F20A3C">
            <w:pPr>
              <w:rPr>
                <w:sz w:val="20"/>
                <w:szCs w:val="20"/>
              </w:rPr>
            </w:pPr>
            <w:r w:rsidRPr="00790AC8">
              <w:rPr>
                <w:sz w:val="20"/>
                <w:szCs w:val="20"/>
              </w:rPr>
              <w:t>Кыргызстан</w:t>
            </w:r>
          </w:p>
        </w:tc>
        <w:tc>
          <w:tcPr>
            <w:tcW w:w="952"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14,7</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15,3</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16,2</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12,7</w:t>
            </w:r>
          </w:p>
        </w:tc>
        <w:tc>
          <w:tcPr>
            <w:tcW w:w="953"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w:t>
            </w:r>
          </w:p>
        </w:tc>
        <w:tc>
          <w:tcPr>
            <w:tcW w:w="885"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11,2</w:t>
            </w:r>
          </w:p>
        </w:tc>
        <w:tc>
          <w:tcPr>
            <w:tcW w:w="957"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10,8</w:t>
            </w:r>
          </w:p>
        </w:tc>
        <w:tc>
          <w:tcPr>
            <w:tcW w:w="815"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13,2</w:t>
            </w:r>
          </w:p>
        </w:tc>
        <w:tc>
          <w:tcPr>
            <w:tcW w:w="886" w:type="dxa"/>
            <w:tcBorders>
              <w:top w:val="nil"/>
              <w:left w:val="nil"/>
              <w:bottom w:val="nil"/>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14,5</w:t>
            </w:r>
          </w:p>
        </w:tc>
      </w:tr>
      <w:tr w:rsidR="00F20A3C" w:rsidRPr="00790AC8" w:rsidTr="00987C73">
        <w:trPr>
          <w:trHeight w:val="284"/>
        </w:trPr>
        <w:tc>
          <w:tcPr>
            <w:tcW w:w="1343" w:type="dxa"/>
            <w:tcBorders>
              <w:top w:val="nil"/>
              <w:left w:val="nil"/>
              <w:bottom w:val="single" w:sz="4" w:space="0" w:color="auto"/>
              <w:right w:val="nil"/>
            </w:tcBorders>
            <w:shd w:val="clear" w:color="auto" w:fill="auto"/>
            <w:noWrap/>
            <w:vAlign w:val="bottom"/>
            <w:hideMark/>
          </w:tcPr>
          <w:p w:rsidR="00F20A3C" w:rsidRPr="00790AC8" w:rsidRDefault="00F20A3C" w:rsidP="00F20A3C">
            <w:pPr>
              <w:rPr>
                <w:sz w:val="20"/>
                <w:szCs w:val="20"/>
              </w:rPr>
            </w:pPr>
            <w:r w:rsidRPr="00790AC8">
              <w:rPr>
                <w:sz w:val="20"/>
                <w:szCs w:val="20"/>
              </w:rPr>
              <w:t>Армения</w:t>
            </w:r>
          </w:p>
        </w:tc>
        <w:tc>
          <w:tcPr>
            <w:tcW w:w="952"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8,3</w:t>
            </w:r>
          </w:p>
        </w:tc>
        <w:tc>
          <w:tcPr>
            <w:tcW w:w="953"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8,1</w:t>
            </w:r>
          </w:p>
        </w:tc>
        <w:tc>
          <w:tcPr>
            <w:tcW w:w="953"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8,1</w:t>
            </w:r>
          </w:p>
        </w:tc>
        <w:tc>
          <w:tcPr>
            <w:tcW w:w="953"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5,4</w:t>
            </w:r>
          </w:p>
        </w:tc>
        <w:tc>
          <w:tcPr>
            <w:tcW w:w="953"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3,2</w:t>
            </w:r>
          </w:p>
        </w:tc>
        <w:tc>
          <w:tcPr>
            <w:tcW w:w="885"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7,1</w:t>
            </w:r>
          </w:p>
        </w:tc>
        <w:tc>
          <w:tcPr>
            <w:tcW w:w="957"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6,5</w:t>
            </w:r>
          </w:p>
        </w:tc>
        <w:tc>
          <w:tcPr>
            <w:tcW w:w="815"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7,4</w:t>
            </w:r>
          </w:p>
        </w:tc>
        <w:tc>
          <w:tcPr>
            <w:tcW w:w="886" w:type="dxa"/>
            <w:tcBorders>
              <w:top w:val="nil"/>
              <w:left w:val="nil"/>
              <w:bottom w:val="single" w:sz="4" w:space="0" w:color="auto"/>
              <w:right w:val="nil"/>
            </w:tcBorders>
            <w:shd w:val="clear" w:color="auto" w:fill="auto"/>
            <w:noWrap/>
            <w:vAlign w:val="bottom"/>
            <w:hideMark/>
          </w:tcPr>
          <w:p w:rsidR="00F20A3C" w:rsidRPr="00790AC8" w:rsidRDefault="00F20A3C" w:rsidP="00987C73">
            <w:pPr>
              <w:jc w:val="right"/>
              <w:rPr>
                <w:sz w:val="20"/>
                <w:szCs w:val="20"/>
              </w:rPr>
            </w:pPr>
            <w:r w:rsidRPr="00790AC8">
              <w:rPr>
                <w:sz w:val="20"/>
                <w:szCs w:val="20"/>
              </w:rPr>
              <w:t>8,4</w:t>
            </w:r>
          </w:p>
        </w:tc>
      </w:tr>
    </w:tbl>
    <w:p w:rsidR="00F20A3C" w:rsidRPr="00790AC8" w:rsidRDefault="00F061E1" w:rsidP="00F20A3C">
      <w:pPr>
        <w:spacing w:before="120"/>
        <w:ind w:firstLine="709"/>
        <w:jc w:val="both"/>
        <w:rPr>
          <w:i/>
          <w:sz w:val="20"/>
          <w:szCs w:val="20"/>
        </w:rPr>
      </w:pPr>
      <w:r>
        <w:rPr>
          <w:i/>
          <w:sz w:val="20"/>
          <w:szCs w:val="20"/>
        </w:rPr>
        <w:t>... – по состоянию на 10</w:t>
      </w:r>
      <w:r w:rsidR="00F20A3C" w:rsidRPr="00790AC8">
        <w:rPr>
          <w:i/>
          <w:sz w:val="20"/>
          <w:szCs w:val="20"/>
        </w:rPr>
        <w:t>.05.2023г. данные не опубликованы</w:t>
      </w:r>
    </w:p>
    <w:p w:rsidR="00F20A3C" w:rsidRPr="00790AC8" w:rsidRDefault="00F20A3C" w:rsidP="00F20A3C">
      <w:pPr>
        <w:pBdr>
          <w:bottom w:val="single" w:sz="4" w:space="6" w:color="FFFFFF"/>
        </w:pBdr>
        <w:autoSpaceDE w:val="0"/>
        <w:autoSpaceDN w:val="0"/>
        <w:adjustRightInd w:val="0"/>
        <w:spacing w:before="120"/>
        <w:ind w:firstLine="709"/>
        <w:jc w:val="both"/>
        <w:rPr>
          <w:sz w:val="28"/>
          <w:szCs w:val="28"/>
          <w:lang w:val="kk-KZ"/>
        </w:rPr>
      </w:pPr>
      <w:r w:rsidRPr="00790AC8">
        <w:rPr>
          <w:sz w:val="28"/>
          <w:szCs w:val="28"/>
        </w:rPr>
        <w:t>С целью разъяснения методологии и процессов расчета инфляции Бюро проводило в апреле т.г. тур для журналистов, где</w:t>
      </w:r>
      <w:r w:rsidRPr="00790AC8">
        <w:rPr>
          <w:sz w:val="28"/>
          <w:szCs w:val="28"/>
          <w:lang w:val="kk-KZ"/>
        </w:rPr>
        <w:t xml:space="preserve"> была проведена демонстрация процесса регистрации цен, представлены ответы на вопросы журналистов.</w:t>
      </w:r>
    </w:p>
    <w:p w:rsidR="00F20A3C" w:rsidRPr="00790AC8" w:rsidRDefault="00F20A3C" w:rsidP="00F20A3C">
      <w:pPr>
        <w:pBdr>
          <w:bottom w:val="single" w:sz="4" w:space="6" w:color="FFFFFF"/>
        </w:pBdr>
        <w:autoSpaceDE w:val="0"/>
        <w:autoSpaceDN w:val="0"/>
        <w:adjustRightInd w:val="0"/>
        <w:ind w:firstLine="709"/>
        <w:jc w:val="both"/>
        <w:rPr>
          <w:sz w:val="28"/>
          <w:szCs w:val="28"/>
          <w:lang w:val="kk-KZ"/>
        </w:rPr>
      </w:pPr>
      <w:r w:rsidRPr="00790AC8">
        <w:rPr>
          <w:sz w:val="28"/>
          <w:szCs w:val="28"/>
        </w:rPr>
        <w:t>Предлагаем в удобное для Вас время провести тур для депутатов фракции партии «</w:t>
      </w:r>
      <w:r w:rsidRPr="00790AC8">
        <w:rPr>
          <w:sz w:val="28"/>
          <w:szCs w:val="28"/>
          <w:lang w:val="en-US"/>
        </w:rPr>
        <w:t>AMANAT</w:t>
      </w:r>
      <w:r w:rsidRPr="00790AC8">
        <w:rPr>
          <w:sz w:val="28"/>
          <w:szCs w:val="28"/>
        </w:rPr>
        <w:t xml:space="preserve">» и </w:t>
      </w:r>
      <w:r w:rsidRPr="00790AC8">
        <w:rPr>
          <w:sz w:val="28"/>
          <w:szCs w:val="28"/>
          <w:lang w:val="kk-KZ"/>
        </w:rPr>
        <w:t>мониторинговой группы в городе Астана для разъяснения методологии.</w:t>
      </w:r>
    </w:p>
    <w:p w:rsidR="00F20A3C" w:rsidRPr="00790AC8" w:rsidRDefault="00F20A3C" w:rsidP="00F20A3C">
      <w:pPr>
        <w:pBdr>
          <w:bottom w:val="single" w:sz="4" w:space="6" w:color="FFFFFF"/>
        </w:pBdr>
        <w:autoSpaceDE w:val="0"/>
        <w:autoSpaceDN w:val="0"/>
        <w:adjustRightInd w:val="0"/>
        <w:ind w:firstLine="709"/>
        <w:jc w:val="both"/>
        <w:rPr>
          <w:sz w:val="28"/>
          <w:szCs w:val="28"/>
          <w:lang w:val="kk-KZ"/>
        </w:rPr>
      </w:pPr>
      <w:r w:rsidRPr="00790AC8">
        <w:rPr>
          <w:sz w:val="28"/>
          <w:szCs w:val="28"/>
          <w:lang w:val="kk-KZ"/>
        </w:rPr>
        <w:lastRenderedPageBreak/>
        <w:t>Дополнительно на сайте Бюро с сентября 2022 года размещен дэшборд, который демонстрирует методологию расчета инфляции и различные срезы для анализа (</w:t>
      </w:r>
      <w:hyperlink r:id="rId9" w:history="1">
        <w:r w:rsidR="00917F7C" w:rsidRPr="00654447">
          <w:rPr>
            <w:rStyle w:val="af0"/>
            <w:sz w:val="28"/>
            <w:lang w:val="kk-KZ"/>
          </w:rPr>
          <w:t>https://stat.gov.kz/ru/instuments/dashboards/8764/</w:t>
        </w:r>
      </w:hyperlink>
      <w:r w:rsidRPr="00790AC8">
        <w:rPr>
          <w:sz w:val="28"/>
          <w:szCs w:val="28"/>
          <w:lang w:val="kk-KZ"/>
        </w:rPr>
        <w:t>).</w:t>
      </w:r>
    </w:p>
    <w:p w:rsidR="00F20A3C" w:rsidRPr="00790AC8" w:rsidRDefault="00F20A3C" w:rsidP="00F20A3C">
      <w:pPr>
        <w:pBdr>
          <w:bottom w:val="single" w:sz="4" w:space="6" w:color="FFFFFF"/>
        </w:pBdr>
        <w:autoSpaceDE w:val="0"/>
        <w:autoSpaceDN w:val="0"/>
        <w:adjustRightInd w:val="0"/>
        <w:ind w:firstLine="709"/>
        <w:jc w:val="both"/>
        <w:rPr>
          <w:sz w:val="28"/>
          <w:szCs w:val="28"/>
          <w:lang w:val="kk-KZ"/>
        </w:rPr>
      </w:pPr>
      <w:r w:rsidRPr="00790AC8">
        <w:rPr>
          <w:sz w:val="28"/>
          <w:szCs w:val="28"/>
          <w:lang w:val="kk-KZ"/>
        </w:rPr>
        <w:t>Также отмечаем, что Бюро продолжает работу по совершенствованию процесса сбора данных дл</w:t>
      </w:r>
      <w:r w:rsidRPr="00790AC8">
        <w:rPr>
          <w:sz w:val="28"/>
          <w:szCs w:val="28"/>
        </w:rPr>
        <w:t>я расчета инфляции</w:t>
      </w:r>
      <w:r w:rsidRPr="00790AC8">
        <w:rPr>
          <w:sz w:val="28"/>
          <w:szCs w:val="28"/>
          <w:lang w:val="kk-KZ"/>
        </w:rPr>
        <w:t>. С апреля т.г. апробируется мобильное приложение, позволяющее считывать штрих-код и изображение товара, подтверждать локацию торгового объекта и передавать данные в онлайн режиме.</w:t>
      </w:r>
    </w:p>
    <w:p w:rsidR="00F20A3C" w:rsidRPr="00790AC8" w:rsidRDefault="00F20A3C" w:rsidP="00F20A3C">
      <w:pPr>
        <w:pBdr>
          <w:bottom w:val="single" w:sz="4" w:space="6" w:color="FFFFFF"/>
        </w:pBdr>
        <w:autoSpaceDE w:val="0"/>
        <w:autoSpaceDN w:val="0"/>
        <w:adjustRightInd w:val="0"/>
        <w:ind w:firstLine="709"/>
        <w:jc w:val="both"/>
        <w:rPr>
          <w:sz w:val="28"/>
          <w:szCs w:val="28"/>
          <w:lang w:val="kk-KZ"/>
        </w:rPr>
      </w:pPr>
      <w:r w:rsidRPr="00790AC8">
        <w:rPr>
          <w:sz w:val="28"/>
          <w:szCs w:val="28"/>
          <w:lang w:val="kk-KZ"/>
        </w:rPr>
        <w:t xml:space="preserve">Кроме того, для расчета инфляции на основе международного опыта </w:t>
      </w:r>
      <w:r w:rsidRPr="00790AC8">
        <w:rPr>
          <w:sz w:val="28"/>
          <w:szCs w:val="28"/>
        </w:rPr>
        <w:t xml:space="preserve">Бюро приступило в пилотном режиме к использованию </w:t>
      </w:r>
      <w:r w:rsidRPr="00790AC8">
        <w:rPr>
          <w:sz w:val="28"/>
          <w:szCs w:val="28"/>
          <w:lang w:val="kk-KZ"/>
        </w:rPr>
        <w:t>данных контрольно-кассовых машин, которые фиксируют фактические транзакции, совершаемые покупателями.</w:t>
      </w:r>
    </w:p>
    <w:p w:rsidR="00F20A3C" w:rsidRPr="00790AC8" w:rsidRDefault="00F20A3C" w:rsidP="00F20A3C">
      <w:pPr>
        <w:pBdr>
          <w:bottom w:val="single" w:sz="4" w:space="6" w:color="FFFFFF"/>
        </w:pBdr>
        <w:autoSpaceDE w:val="0"/>
        <w:autoSpaceDN w:val="0"/>
        <w:adjustRightInd w:val="0"/>
        <w:ind w:firstLine="709"/>
        <w:jc w:val="both"/>
        <w:rPr>
          <w:sz w:val="28"/>
          <w:szCs w:val="28"/>
          <w:lang w:val="kk-KZ"/>
        </w:rPr>
      </w:pPr>
      <w:r w:rsidRPr="00790AC8">
        <w:rPr>
          <w:sz w:val="28"/>
          <w:szCs w:val="28"/>
          <w:lang w:val="kk-KZ"/>
        </w:rPr>
        <w:t>Бюро готово провести демонстрацию новых инструментов в удобное для Вас время.</w:t>
      </w:r>
    </w:p>
    <w:p w:rsidR="00F20A3C" w:rsidRPr="00790AC8" w:rsidRDefault="00F20A3C" w:rsidP="00F20A3C">
      <w:pPr>
        <w:ind w:firstLine="709"/>
        <w:jc w:val="both"/>
        <w:rPr>
          <w:b/>
          <w:i/>
          <w:sz w:val="28"/>
          <w:szCs w:val="28"/>
          <w:lang w:val="kk-KZ"/>
        </w:rPr>
      </w:pPr>
      <w:r w:rsidRPr="00790AC8">
        <w:rPr>
          <w:b/>
          <w:i/>
          <w:sz w:val="28"/>
          <w:szCs w:val="28"/>
          <w:lang w:val="kk-KZ"/>
        </w:rPr>
        <w:t>2. Касательно вопроса среднемесячной заработной платы и среднедушевых доходов населения.</w:t>
      </w:r>
    </w:p>
    <w:p w:rsidR="00F20A3C" w:rsidRPr="00790AC8" w:rsidRDefault="00F20A3C" w:rsidP="00F20A3C">
      <w:pPr>
        <w:ind w:firstLine="708"/>
        <w:jc w:val="both"/>
        <w:rPr>
          <w:sz w:val="28"/>
          <w:szCs w:val="28"/>
          <w:lang w:val="kk-KZ"/>
        </w:rPr>
      </w:pPr>
      <w:r w:rsidRPr="00790AC8">
        <w:rPr>
          <w:sz w:val="28"/>
          <w:szCs w:val="28"/>
          <w:lang w:val="kk-KZ"/>
        </w:rPr>
        <w:t xml:space="preserve">Информация по среднемесячной заработной плате формируется на основе статистической отчетности, предоставляемой предприятиями на квартальной и годовой основе. </w:t>
      </w:r>
    </w:p>
    <w:p w:rsidR="00F20A3C" w:rsidRPr="00790AC8" w:rsidRDefault="00F20A3C" w:rsidP="00F20A3C">
      <w:pPr>
        <w:ind w:firstLine="708"/>
        <w:jc w:val="both"/>
        <w:rPr>
          <w:sz w:val="28"/>
          <w:szCs w:val="28"/>
          <w:lang w:val="kk-KZ"/>
        </w:rPr>
      </w:pPr>
      <w:r w:rsidRPr="00790AC8">
        <w:rPr>
          <w:sz w:val="28"/>
          <w:szCs w:val="28"/>
          <w:lang w:val="kk-KZ"/>
        </w:rPr>
        <w:t>Среднемесячная заработная плата расчитывается как на уровне каждой организации, так и по регионам и видам экономической деятельности, путем деления суммы начисленного фонда заработной платы (с учетом доплат, надбавок, премий, налогов и пенсионных отчислений) на фактическую численность работников за период.</w:t>
      </w:r>
    </w:p>
    <w:p w:rsidR="00F20A3C" w:rsidRPr="00790AC8" w:rsidRDefault="00F20A3C" w:rsidP="00F20A3C">
      <w:pPr>
        <w:ind w:firstLine="708"/>
        <w:jc w:val="both"/>
        <w:rPr>
          <w:sz w:val="28"/>
          <w:szCs w:val="28"/>
          <w:lang w:val="kk-KZ"/>
        </w:rPr>
      </w:pPr>
      <w:r w:rsidRPr="00790AC8">
        <w:rPr>
          <w:sz w:val="28"/>
          <w:szCs w:val="28"/>
          <w:lang w:val="kk-KZ"/>
        </w:rPr>
        <w:t>По итогам отчетов предприятий за 1 квартал 2023 года среднемесячная заработная плата по РК составила 340 636 тенге.</w:t>
      </w:r>
    </w:p>
    <w:p w:rsidR="00F20A3C" w:rsidRPr="00790AC8" w:rsidRDefault="00F20A3C" w:rsidP="00F20A3C">
      <w:pPr>
        <w:ind w:firstLine="708"/>
        <w:jc w:val="both"/>
        <w:rPr>
          <w:sz w:val="28"/>
          <w:szCs w:val="28"/>
          <w:lang w:val="kk-KZ"/>
        </w:rPr>
      </w:pPr>
      <w:r w:rsidRPr="00790AC8">
        <w:rPr>
          <w:sz w:val="28"/>
          <w:szCs w:val="28"/>
          <w:lang w:val="kk-KZ"/>
        </w:rPr>
        <w:t>В разрезе регионов наиболее высокооплачиваемой является Атырауская область, где</w:t>
      </w:r>
      <w:r w:rsidRPr="00790AC8">
        <w:rPr>
          <w:sz w:val="28"/>
          <w:szCs w:val="28"/>
        </w:rPr>
        <w:t xml:space="preserve"> </w:t>
      </w:r>
      <w:r w:rsidRPr="00790AC8">
        <w:rPr>
          <w:sz w:val="28"/>
          <w:szCs w:val="28"/>
          <w:lang w:val="kk-KZ"/>
        </w:rPr>
        <w:t xml:space="preserve">по итогам 1 квартала 2023 года работники получали </w:t>
      </w:r>
      <w:r w:rsidR="005C3812" w:rsidRPr="00790AC8">
        <w:rPr>
          <w:sz w:val="28"/>
          <w:szCs w:val="28"/>
          <w:lang w:val="kk-KZ"/>
        </w:rPr>
        <w:t>в среднем</w:t>
      </w:r>
      <w:r w:rsidR="00F00838">
        <w:rPr>
          <w:sz w:val="28"/>
          <w:szCs w:val="28"/>
          <w:lang w:val="kk-KZ"/>
        </w:rPr>
        <w:t xml:space="preserve"> </w:t>
      </w:r>
      <w:r w:rsidR="00F00838">
        <w:rPr>
          <w:sz w:val="28"/>
          <w:szCs w:val="28"/>
          <w:lang w:val="kk-KZ"/>
        </w:rPr>
        <w:br/>
      </w:r>
      <w:r w:rsidR="005C3812" w:rsidRPr="00790AC8">
        <w:rPr>
          <w:sz w:val="28"/>
          <w:szCs w:val="28"/>
          <w:lang w:val="kk-KZ"/>
        </w:rPr>
        <w:t xml:space="preserve">618 420 тенге или </w:t>
      </w:r>
      <w:r w:rsidRPr="00790AC8">
        <w:rPr>
          <w:sz w:val="28"/>
          <w:szCs w:val="28"/>
          <w:lang w:val="kk-KZ"/>
        </w:rPr>
        <w:t xml:space="preserve">на 81,5% больше, чем по Казахстану. За ней следует Мангистауская область, где средняя заработная плата </w:t>
      </w:r>
      <w:r w:rsidR="005C3812" w:rsidRPr="00790AC8">
        <w:rPr>
          <w:sz w:val="28"/>
          <w:szCs w:val="28"/>
          <w:lang w:val="kk-KZ"/>
        </w:rPr>
        <w:t xml:space="preserve">(509 818 тенге) </w:t>
      </w:r>
      <w:r w:rsidRPr="00790AC8">
        <w:rPr>
          <w:sz w:val="28"/>
          <w:szCs w:val="28"/>
          <w:lang w:val="kk-KZ"/>
        </w:rPr>
        <w:t xml:space="preserve">в 1,5 раза выше республиканского уровня. </w:t>
      </w:r>
    </w:p>
    <w:p w:rsidR="005C3812" w:rsidRPr="00790AC8" w:rsidRDefault="00F20A3C" w:rsidP="005C3812">
      <w:pPr>
        <w:ind w:firstLine="708"/>
        <w:jc w:val="both"/>
        <w:rPr>
          <w:sz w:val="28"/>
          <w:szCs w:val="28"/>
          <w:lang w:val="kk-KZ"/>
        </w:rPr>
      </w:pPr>
      <w:r w:rsidRPr="00790AC8">
        <w:rPr>
          <w:sz w:val="28"/>
          <w:szCs w:val="28"/>
          <w:lang w:val="kk-KZ"/>
        </w:rPr>
        <w:t>Это связано с тем, что оплата труда работников в этих областях в большей степени формируется за счет горнодобывающей промышленности</w:t>
      </w:r>
      <w:r w:rsidR="005C3812" w:rsidRPr="00790AC8">
        <w:rPr>
          <w:sz w:val="28"/>
          <w:szCs w:val="28"/>
          <w:lang w:val="kk-KZ"/>
        </w:rPr>
        <w:t xml:space="preserve">, которая является наболее высокооплачиваемой отраслью. По итогам 1 квартала </w:t>
      </w:r>
      <w:r w:rsidR="003D0620">
        <w:rPr>
          <w:sz w:val="28"/>
          <w:szCs w:val="28"/>
          <w:lang w:val="kk-KZ"/>
        </w:rPr>
        <w:t xml:space="preserve">2023 года </w:t>
      </w:r>
      <w:r w:rsidR="005C3812" w:rsidRPr="00790AC8">
        <w:rPr>
          <w:sz w:val="28"/>
          <w:szCs w:val="28"/>
          <w:lang w:val="kk-KZ"/>
        </w:rPr>
        <w:t xml:space="preserve">работники горнодобывающей промышленности получали в среднем </w:t>
      </w:r>
      <w:r w:rsidR="00721B16">
        <w:rPr>
          <w:sz w:val="28"/>
          <w:szCs w:val="28"/>
          <w:lang w:val="kk-KZ"/>
        </w:rPr>
        <w:br/>
      </w:r>
      <w:r w:rsidR="005C3812" w:rsidRPr="00790AC8">
        <w:rPr>
          <w:sz w:val="28"/>
          <w:szCs w:val="28"/>
          <w:lang w:val="kk-KZ"/>
        </w:rPr>
        <w:t>766 555 тенге, что в 2,2 раза выше республиканского уровня.</w:t>
      </w:r>
    </w:p>
    <w:p w:rsidR="00F20A3C" w:rsidRPr="00790AC8" w:rsidRDefault="00F20A3C" w:rsidP="00F20A3C">
      <w:pPr>
        <w:ind w:firstLine="708"/>
        <w:jc w:val="both"/>
        <w:rPr>
          <w:sz w:val="28"/>
          <w:szCs w:val="28"/>
          <w:lang w:val="kk-KZ"/>
        </w:rPr>
      </w:pPr>
      <w:r w:rsidRPr="00790AC8">
        <w:rPr>
          <w:sz w:val="28"/>
          <w:szCs w:val="28"/>
          <w:lang w:val="kk-KZ"/>
        </w:rPr>
        <w:t xml:space="preserve">В то же время есть регионы, в которых среднемесячная заработная плата намного ниже республиканского уровня. К примеру, в Северо-Казахстанской области заработная плата по итогам 1 квартала 2023 года была ниже среднереспубликанского уровня на 29,2%, в области Жетысу – на 27,7%. </w:t>
      </w:r>
    </w:p>
    <w:p w:rsidR="00F20A3C" w:rsidRPr="00790AC8" w:rsidRDefault="00F20A3C" w:rsidP="00F20A3C">
      <w:pPr>
        <w:ind w:firstLine="708"/>
        <w:jc w:val="both"/>
        <w:rPr>
          <w:sz w:val="28"/>
          <w:szCs w:val="28"/>
          <w:lang w:val="kk-KZ"/>
        </w:rPr>
      </w:pPr>
      <w:r w:rsidRPr="00790AC8">
        <w:rPr>
          <w:sz w:val="28"/>
          <w:szCs w:val="28"/>
          <w:lang w:val="kk-KZ"/>
        </w:rPr>
        <w:t xml:space="preserve">В разрезе отраслей по сравнению со среднереспубликанским уровнем одними из низкооплачиваемых являются – сельское, лесное и рыбное хозяйство на 47,3% ниже чем по РК, Водоснабжение; сбор, обработка и удаление отходов, деятельность по ликвидации загрязнений на 40,7%, искусство, развлечения и отдых на 40,4% соответственно. </w:t>
      </w:r>
    </w:p>
    <w:p w:rsidR="005C3812" w:rsidRPr="00790AC8" w:rsidRDefault="005C3812" w:rsidP="005C3812">
      <w:pPr>
        <w:pStyle w:val="OsnTxt"/>
        <w:spacing w:line="240" w:lineRule="auto"/>
        <w:ind w:firstLine="708"/>
        <w:rPr>
          <w:rFonts w:ascii="Times New Roman" w:hAnsi="Times New Roman"/>
          <w:sz w:val="28"/>
          <w:szCs w:val="28"/>
          <w:lang w:val="kk-KZ"/>
        </w:rPr>
      </w:pPr>
      <w:r w:rsidRPr="00790AC8">
        <w:rPr>
          <w:rFonts w:ascii="Times New Roman" w:hAnsi="Times New Roman"/>
          <w:sz w:val="28"/>
          <w:szCs w:val="28"/>
          <w:lang w:val="kk-KZ"/>
        </w:rPr>
        <w:lastRenderedPageBreak/>
        <w:t>Таким образом, с учетом региональной и отраслевой специфики среднемесячная заработная плата по Республике Казахстан за 1 квартал</w:t>
      </w:r>
      <w:r w:rsidR="00F00838">
        <w:rPr>
          <w:rFonts w:ascii="Times New Roman" w:hAnsi="Times New Roman"/>
          <w:sz w:val="28"/>
          <w:szCs w:val="28"/>
          <w:lang w:val="kk-KZ"/>
        </w:rPr>
        <w:br/>
      </w:r>
      <w:r w:rsidRPr="00790AC8">
        <w:rPr>
          <w:rFonts w:ascii="Times New Roman" w:hAnsi="Times New Roman"/>
          <w:sz w:val="28"/>
          <w:szCs w:val="28"/>
          <w:lang w:val="kk-KZ"/>
        </w:rPr>
        <w:t>2023 года составила 340 636 тенге.</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Для наглядности представляем распределение численности работников по размерам заработных плат по итогам обследования предприятий в 2022 году. </w:t>
      </w:r>
    </w:p>
    <w:p w:rsidR="00A23A95" w:rsidRDefault="00F20A3C" w:rsidP="00A23A95">
      <w:pPr>
        <w:spacing w:before="120"/>
        <w:jc w:val="center"/>
        <w:rPr>
          <w:rFonts w:eastAsia="Calibri"/>
          <w:b/>
        </w:rPr>
      </w:pPr>
      <w:r w:rsidRPr="00790AC8">
        <w:rPr>
          <w:rFonts w:eastAsia="Calibri"/>
          <w:b/>
        </w:rPr>
        <w:t>Распределение численности работников по</w:t>
      </w:r>
      <w:r w:rsidR="00A23A95">
        <w:rPr>
          <w:rFonts w:eastAsia="Calibri"/>
          <w:b/>
        </w:rPr>
        <w:t xml:space="preserve"> </w:t>
      </w:r>
      <w:r w:rsidRPr="00790AC8">
        <w:rPr>
          <w:rFonts w:eastAsia="Calibri"/>
          <w:b/>
        </w:rPr>
        <w:t>размерам средних заработных плат</w:t>
      </w:r>
    </w:p>
    <w:p w:rsidR="00F20A3C" w:rsidRPr="00790AC8" w:rsidRDefault="00F20A3C" w:rsidP="00A23A95">
      <w:pPr>
        <w:jc w:val="center"/>
        <w:rPr>
          <w:rFonts w:eastAsia="Calibri"/>
          <w:b/>
          <w:lang w:val="kk-KZ"/>
        </w:rPr>
      </w:pPr>
      <w:r w:rsidRPr="00790AC8">
        <w:rPr>
          <w:rFonts w:eastAsia="Calibri"/>
          <w:b/>
        </w:rPr>
        <w:t xml:space="preserve"> </w:t>
      </w:r>
      <w:r w:rsidRPr="00790AC8">
        <w:rPr>
          <w:rFonts w:eastAsia="Calibri"/>
          <w:b/>
          <w:lang w:val="kk-KZ"/>
        </w:rPr>
        <w:t>в</w:t>
      </w:r>
      <w:r w:rsidRPr="00790AC8">
        <w:rPr>
          <w:rFonts w:eastAsia="Calibri"/>
          <w:b/>
        </w:rPr>
        <w:t xml:space="preserve"> Р</w:t>
      </w:r>
      <w:r w:rsidRPr="00790AC8">
        <w:rPr>
          <w:rFonts w:eastAsia="Calibri"/>
          <w:b/>
          <w:lang w:val="kk-KZ"/>
        </w:rPr>
        <w:t>еспублике Казахстан</w:t>
      </w:r>
      <w:r w:rsidRPr="00790AC8">
        <w:rPr>
          <w:rFonts w:eastAsia="Calibri"/>
          <w:b/>
        </w:rPr>
        <w:t xml:space="preserve"> за 2022 год, в %</w:t>
      </w:r>
    </w:p>
    <w:p w:rsidR="00F20A3C" w:rsidRPr="00790AC8" w:rsidRDefault="00F20A3C" w:rsidP="00F20A3C">
      <w:pPr>
        <w:jc w:val="both"/>
        <w:rPr>
          <w:rFonts w:eastAsia="Calibri"/>
          <w:sz w:val="28"/>
          <w:szCs w:val="28"/>
        </w:rPr>
      </w:pPr>
      <w:r w:rsidRPr="00790AC8">
        <w:rPr>
          <w:rFonts w:eastAsia="Calibri"/>
          <w:noProof/>
          <w:sz w:val="28"/>
          <w:szCs w:val="28"/>
        </w:rPr>
        <w:drawing>
          <wp:inline distT="0" distB="0" distL="0" distR="0">
            <wp:extent cx="6152083" cy="1960474"/>
            <wp:effectExtent l="0" t="0" r="106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0A3C" w:rsidRPr="00790AC8" w:rsidRDefault="00F20A3C" w:rsidP="00F20A3C">
      <w:pPr>
        <w:ind w:firstLine="709"/>
        <w:jc w:val="both"/>
        <w:rPr>
          <w:rFonts w:eastAsia="Calibri"/>
          <w:sz w:val="28"/>
          <w:szCs w:val="28"/>
        </w:rPr>
      </w:pPr>
      <w:r w:rsidRPr="00790AC8">
        <w:rPr>
          <w:rFonts w:eastAsia="Calibri"/>
          <w:sz w:val="28"/>
          <w:szCs w:val="28"/>
        </w:rPr>
        <w:t>Согласно отчетным данным заработную плату до 70 тыс. тенге получали – 5,7%</w:t>
      </w:r>
      <w:r w:rsidRPr="00790AC8">
        <w:rPr>
          <w:rFonts w:eastAsia="Calibri"/>
          <w:sz w:val="28"/>
          <w:szCs w:val="28"/>
          <w:lang w:val="kk-KZ"/>
        </w:rPr>
        <w:t xml:space="preserve"> </w:t>
      </w:r>
      <w:r w:rsidRPr="00790AC8">
        <w:rPr>
          <w:rFonts w:eastAsia="Calibri"/>
          <w:sz w:val="28"/>
          <w:szCs w:val="28"/>
        </w:rPr>
        <w:t>работников обследованных предприятий, от 70 до 150 тыс. тенге –</w:t>
      </w:r>
      <w:r w:rsidR="00F00838">
        <w:rPr>
          <w:rFonts w:eastAsia="Calibri"/>
          <w:sz w:val="28"/>
          <w:szCs w:val="28"/>
          <w:lang w:val="kk-KZ"/>
        </w:rPr>
        <w:br/>
      </w:r>
      <w:r w:rsidRPr="00790AC8">
        <w:rPr>
          <w:rFonts w:eastAsia="Calibri"/>
          <w:sz w:val="28"/>
          <w:szCs w:val="28"/>
        </w:rPr>
        <w:t xml:space="preserve">28,0 %, от 150 до 300 тыс. – 37,6%, от 300 до 420 тыс. – 14,4%, свыше 420 тыс. – 14,2%. </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Если поделить данную диаграмму на две равные половины по количеству работников, то будет определена медиана, которая используется экспертами в качестве дополнительной средней величины заработной платы. </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В 2022 году Бюро начало публиковать оценку медианы на квартальной основе. Медиана по оценке за 1 квартал 2023 года составила – 225 736 тенге. </w:t>
      </w:r>
    </w:p>
    <w:p w:rsidR="00F20A3C" w:rsidRPr="00790AC8" w:rsidRDefault="00F20A3C" w:rsidP="00F20A3C">
      <w:pPr>
        <w:ind w:firstLine="709"/>
        <w:jc w:val="both"/>
        <w:rPr>
          <w:rFonts w:eastAsia="Calibri"/>
          <w:sz w:val="28"/>
          <w:szCs w:val="28"/>
        </w:rPr>
      </w:pPr>
      <w:r w:rsidRPr="00790AC8">
        <w:rPr>
          <w:rFonts w:eastAsia="Calibri"/>
          <w:b/>
          <w:sz w:val="28"/>
          <w:szCs w:val="28"/>
        </w:rPr>
        <w:t>Обращаем внимание, что понятие «среднедушевые доходы населения» концептуально отличается от понятия «заработной платы».</w:t>
      </w:r>
    </w:p>
    <w:p w:rsidR="00F20A3C" w:rsidRPr="00790AC8" w:rsidRDefault="00F20A3C" w:rsidP="00F20A3C">
      <w:pPr>
        <w:ind w:firstLine="709"/>
        <w:jc w:val="both"/>
        <w:rPr>
          <w:rFonts w:eastAsia="Calibri"/>
          <w:sz w:val="28"/>
          <w:szCs w:val="28"/>
        </w:rPr>
      </w:pPr>
      <w:r w:rsidRPr="00790AC8">
        <w:rPr>
          <w:rFonts w:eastAsia="Calibri"/>
          <w:sz w:val="28"/>
          <w:szCs w:val="28"/>
        </w:rPr>
        <w:t>Заработная плата является одной из основных составляющих доходов.</w:t>
      </w:r>
      <w:r w:rsidRPr="00790AC8">
        <w:rPr>
          <w:rFonts w:eastAsia="Calibri"/>
          <w:sz w:val="28"/>
          <w:szCs w:val="28"/>
          <w:lang w:val="kk-KZ"/>
        </w:rPr>
        <w:t xml:space="preserve"> </w:t>
      </w:r>
      <w:r w:rsidRPr="00790AC8">
        <w:rPr>
          <w:rFonts w:eastAsia="Calibri"/>
          <w:sz w:val="28"/>
          <w:szCs w:val="28"/>
        </w:rPr>
        <w:t>Доходы населения включают доходы от трудовой деятельности (заработная плата и доход от предпринимательской деятельности), социальные трансферты и прочие денежные поступления. Распределение структуры доходов населения показывает, что наибольший удельный вес составляют доходы от трудовой деятельности – 76%, на доходы от социальных трансфертов приходится 12%, на</w:t>
      </w:r>
      <w:r w:rsidRPr="00790AC8">
        <w:rPr>
          <w:rFonts w:eastAsia="Calibri"/>
          <w:sz w:val="28"/>
          <w:szCs w:val="28"/>
          <w:lang w:val="kk-KZ"/>
        </w:rPr>
        <w:t xml:space="preserve"> </w:t>
      </w:r>
      <w:r w:rsidRPr="00790AC8">
        <w:rPr>
          <w:rFonts w:eastAsia="Calibri"/>
          <w:sz w:val="28"/>
          <w:szCs w:val="28"/>
        </w:rPr>
        <w:t>доходы от самостоятельной занятости – 11% и на прочие денежные доходы – 1%.</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Поясняем, что данные по доходам населения формируются в расчете на душу населения. То есть сумма всех доходов домашнего хозяйства делится на всех его членов, включая детей, пенсионеров, безработных и других. </w:t>
      </w:r>
    </w:p>
    <w:p w:rsidR="00F20A3C" w:rsidRPr="00790AC8" w:rsidRDefault="00F20A3C" w:rsidP="00F20A3C">
      <w:pPr>
        <w:ind w:firstLine="709"/>
        <w:jc w:val="both"/>
        <w:rPr>
          <w:rFonts w:eastAsia="Calibri"/>
          <w:sz w:val="28"/>
          <w:szCs w:val="28"/>
        </w:rPr>
      </w:pPr>
      <w:r w:rsidRPr="00790AC8">
        <w:rPr>
          <w:rFonts w:eastAsia="Calibri"/>
          <w:sz w:val="28"/>
          <w:szCs w:val="28"/>
        </w:rPr>
        <w:t>Приведем пример, который наглядно показывает различие между этими двумя понятиями.</w:t>
      </w:r>
    </w:p>
    <w:p w:rsidR="00F20A3C" w:rsidRPr="00790AC8" w:rsidRDefault="00F20A3C" w:rsidP="00F20A3C">
      <w:pPr>
        <w:ind w:firstLine="709"/>
        <w:jc w:val="both"/>
        <w:rPr>
          <w:rFonts w:eastAsia="Calibri"/>
          <w:i/>
          <w:sz w:val="28"/>
          <w:szCs w:val="28"/>
        </w:rPr>
      </w:pPr>
      <w:r w:rsidRPr="00790AC8">
        <w:rPr>
          <w:rFonts w:eastAsia="Calibri"/>
          <w:i/>
          <w:sz w:val="28"/>
          <w:szCs w:val="28"/>
        </w:rPr>
        <w:t>Домашнее хозяйство состоит из 6 человек:</w:t>
      </w:r>
    </w:p>
    <w:p w:rsidR="00F20A3C" w:rsidRPr="00790AC8" w:rsidRDefault="00F20A3C" w:rsidP="00F20A3C">
      <w:pPr>
        <w:ind w:firstLine="709"/>
        <w:jc w:val="both"/>
        <w:rPr>
          <w:rFonts w:eastAsia="Calibri"/>
          <w:i/>
          <w:sz w:val="28"/>
          <w:szCs w:val="28"/>
        </w:rPr>
      </w:pPr>
      <w:r w:rsidRPr="00790AC8">
        <w:rPr>
          <w:rFonts w:eastAsia="Calibri"/>
          <w:i/>
          <w:sz w:val="28"/>
          <w:szCs w:val="28"/>
        </w:rPr>
        <w:t>муж – заработная плата в размере 210 тысяч тенге в месяц;</w:t>
      </w:r>
    </w:p>
    <w:p w:rsidR="00F20A3C" w:rsidRPr="00790AC8" w:rsidRDefault="00F20A3C" w:rsidP="00F20A3C">
      <w:pPr>
        <w:ind w:firstLine="709"/>
        <w:jc w:val="both"/>
        <w:rPr>
          <w:rFonts w:eastAsia="Calibri"/>
          <w:i/>
          <w:sz w:val="28"/>
          <w:szCs w:val="28"/>
        </w:rPr>
      </w:pPr>
      <w:r w:rsidRPr="00790AC8">
        <w:rPr>
          <w:rFonts w:eastAsia="Calibri"/>
          <w:i/>
          <w:sz w:val="28"/>
          <w:szCs w:val="28"/>
        </w:rPr>
        <w:t>жена – находится в отпуске по уходу за ребенком, получает пособие по уходу за ребенком 30 тысяч тенге;</w:t>
      </w:r>
    </w:p>
    <w:p w:rsidR="00F20A3C" w:rsidRPr="00790AC8" w:rsidRDefault="00F20A3C" w:rsidP="00F20A3C">
      <w:pPr>
        <w:ind w:firstLine="709"/>
        <w:jc w:val="both"/>
        <w:rPr>
          <w:rFonts w:eastAsia="Calibri"/>
          <w:i/>
          <w:sz w:val="28"/>
          <w:szCs w:val="28"/>
        </w:rPr>
      </w:pPr>
      <w:r w:rsidRPr="00790AC8">
        <w:rPr>
          <w:rFonts w:eastAsia="Calibri"/>
          <w:i/>
          <w:sz w:val="28"/>
          <w:szCs w:val="28"/>
        </w:rPr>
        <w:t>3 несовершеннолетних детей – на иждивении;</w:t>
      </w:r>
    </w:p>
    <w:p w:rsidR="00F20A3C" w:rsidRPr="00790AC8" w:rsidRDefault="00F20A3C" w:rsidP="00F20A3C">
      <w:pPr>
        <w:ind w:firstLine="709"/>
        <w:jc w:val="both"/>
        <w:rPr>
          <w:rFonts w:eastAsia="Calibri"/>
          <w:i/>
          <w:sz w:val="28"/>
          <w:szCs w:val="28"/>
        </w:rPr>
      </w:pPr>
      <w:r w:rsidRPr="00790AC8">
        <w:rPr>
          <w:rFonts w:eastAsia="Calibri"/>
          <w:i/>
          <w:sz w:val="28"/>
          <w:szCs w:val="28"/>
        </w:rPr>
        <w:t>мать мужа (пенсионерка) – пенсия 67 500 тенге.</w:t>
      </w:r>
    </w:p>
    <w:p w:rsidR="00F20A3C" w:rsidRPr="00790AC8" w:rsidRDefault="00F20A3C" w:rsidP="00F20A3C">
      <w:pPr>
        <w:ind w:firstLine="709"/>
        <w:jc w:val="both"/>
        <w:rPr>
          <w:rFonts w:eastAsia="Calibri"/>
          <w:i/>
          <w:sz w:val="28"/>
          <w:szCs w:val="28"/>
        </w:rPr>
      </w:pPr>
      <w:r w:rsidRPr="00790AC8">
        <w:rPr>
          <w:rFonts w:eastAsia="Calibri"/>
          <w:i/>
          <w:sz w:val="28"/>
          <w:szCs w:val="28"/>
        </w:rPr>
        <w:t>Итого доходы домашнего хозяйства составляют:</w:t>
      </w:r>
      <w:r w:rsidR="00C91837">
        <w:rPr>
          <w:rFonts w:eastAsia="Calibri"/>
          <w:i/>
          <w:sz w:val="28"/>
          <w:szCs w:val="28"/>
        </w:rPr>
        <w:t xml:space="preserve"> </w:t>
      </w:r>
      <w:r w:rsidRPr="00790AC8">
        <w:rPr>
          <w:rFonts w:eastAsia="Calibri"/>
          <w:i/>
          <w:sz w:val="28"/>
          <w:szCs w:val="28"/>
        </w:rPr>
        <w:t>210 тысяч+</w:t>
      </w:r>
      <w:r w:rsidR="00F00838">
        <w:rPr>
          <w:rFonts w:eastAsia="Calibri"/>
          <w:i/>
          <w:sz w:val="28"/>
          <w:szCs w:val="28"/>
          <w:lang w:val="kk-KZ"/>
        </w:rPr>
        <w:br/>
      </w:r>
      <w:r w:rsidRPr="00790AC8">
        <w:rPr>
          <w:rFonts w:eastAsia="Calibri"/>
          <w:i/>
          <w:sz w:val="28"/>
          <w:szCs w:val="28"/>
        </w:rPr>
        <w:t xml:space="preserve">30 тысяч+67,5 тысяч тенге=307,5 тысяч тенге/6 человек=51 250 тенге. Исходя </w:t>
      </w:r>
      <w:r w:rsidRPr="00790AC8">
        <w:rPr>
          <w:rFonts w:eastAsia="Calibri"/>
          <w:i/>
          <w:sz w:val="28"/>
          <w:szCs w:val="28"/>
        </w:rPr>
        <w:lastRenderedPageBreak/>
        <w:t>из данного примера, доход в среднем на душу населения в месяц в данном домашнем хозяйстве составляет 51 250 тенге.</w:t>
      </w:r>
    </w:p>
    <w:p w:rsidR="00F20A3C" w:rsidRPr="00790AC8" w:rsidRDefault="00F20A3C" w:rsidP="00F20A3C">
      <w:pPr>
        <w:ind w:firstLine="709"/>
        <w:jc w:val="both"/>
        <w:rPr>
          <w:rFonts w:eastAsia="Calibri"/>
          <w:sz w:val="28"/>
          <w:szCs w:val="28"/>
        </w:rPr>
      </w:pPr>
      <w:r w:rsidRPr="00790AC8">
        <w:rPr>
          <w:rFonts w:eastAsia="Calibri"/>
          <w:sz w:val="28"/>
          <w:szCs w:val="28"/>
        </w:rPr>
        <w:t>Информация по среднедушевым номинальным денежным доходам населения формируется на ежемесячной, ежеквартальной и годовой основе. Расчет показателя осуществляется путем агрегирования всех данных (статистические и административные) о доходах населения (доходах от наемной занятости (заработная плата), доходах от самостоятельной занятости, выплаченных социальных трансфертах, прочих доходах) с учетом досчета на сокрытие доходов населением.</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По итогам 2022 года среднедушевые номинальные денежные доходы населения по Республике Казахстан составили 154 417 тенге в месяц. </w:t>
      </w:r>
    </w:p>
    <w:p w:rsidR="00F20A3C" w:rsidRPr="00790AC8" w:rsidRDefault="00F20A3C" w:rsidP="005C3812">
      <w:pPr>
        <w:ind w:firstLine="709"/>
        <w:jc w:val="both"/>
        <w:rPr>
          <w:rFonts w:eastAsia="Calibri"/>
          <w:sz w:val="28"/>
          <w:szCs w:val="28"/>
          <w:lang w:val="kk-KZ"/>
        </w:rPr>
      </w:pPr>
      <w:r w:rsidRPr="00790AC8">
        <w:rPr>
          <w:rFonts w:eastAsia="Calibri"/>
          <w:sz w:val="28"/>
          <w:szCs w:val="28"/>
        </w:rPr>
        <w:t>Информация, приведенная в обращении о том, что «…у половины населения месячный доход не превышает 50 тысяч тенге…» сформирована за 2020 год по итогам выборочного обследования бюджетов домашних хозяйств (со слов респондентов). За прошедшие два года ситуация существенно изменилась – так в 2021 году доход менее 50 тысяч тенге имели – 41,5% населения, в 2022 году – 27,8%.</w:t>
      </w:r>
      <w:r w:rsidR="005C3812" w:rsidRPr="00790AC8">
        <w:rPr>
          <w:rFonts w:eastAsia="Calibri"/>
          <w:sz w:val="28"/>
          <w:szCs w:val="28"/>
        </w:rPr>
        <w:t xml:space="preserve"> </w:t>
      </w:r>
      <w:r w:rsidR="005C3812" w:rsidRPr="00790AC8">
        <w:rPr>
          <w:rFonts w:eastAsia="Calibri"/>
          <w:sz w:val="28"/>
          <w:szCs w:val="28"/>
          <w:lang w:val="kk-KZ"/>
        </w:rPr>
        <w:t>С 2020 по 2022 год среднедушевые доходы населения выросли на 33</w:t>
      </w:r>
      <w:r w:rsidR="005C3812" w:rsidRPr="00790AC8">
        <w:rPr>
          <w:rFonts w:eastAsia="Calibri"/>
          <w:sz w:val="28"/>
          <w:szCs w:val="28"/>
        </w:rPr>
        <w:t xml:space="preserve">% </w:t>
      </w:r>
      <w:r w:rsidR="005C3812" w:rsidRPr="00790AC8">
        <w:rPr>
          <w:rFonts w:eastAsia="Calibri"/>
          <w:sz w:val="28"/>
          <w:szCs w:val="28"/>
          <w:lang w:val="kk-KZ"/>
        </w:rPr>
        <w:t>в номинальном выражении и на 7</w:t>
      </w:r>
      <w:r w:rsidR="005C3812" w:rsidRPr="00790AC8">
        <w:rPr>
          <w:rFonts w:eastAsia="Calibri"/>
          <w:sz w:val="28"/>
          <w:szCs w:val="28"/>
        </w:rPr>
        <w:t>%</w:t>
      </w:r>
      <w:r w:rsidR="005C3812" w:rsidRPr="00790AC8">
        <w:rPr>
          <w:rFonts w:eastAsia="Calibri"/>
          <w:sz w:val="28"/>
          <w:szCs w:val="28"/>
          <w:lang w:val="kk-KZ"/>
        </w:rPr>
        <w:t xml:space="preserve"> в реальном выражении.</w:t>
      </w:r>
    </w:p>
    <w:p w:rsidR="00F20A3C" w:rsidRPr="00790AC8" w:rsidRDefault="00F20A3C" w:rsidP="00F20A3C">
      <w:pPr>
        <w:ind w:firstLine="709"/>
        <w:jc w:val="both"/>
        <w:rPr>
          <w:rFonts w:eastAsia="Calibri"/>
          <w:b/>
          <w:i/>
          <w:sz w:val="28"/>
          <w:szCs w:val="28"/>
          <w:lang w:val="kk-KZ"/>
        </w:rPr>
      </w:pPr>
      <w:r w:rsidRPr="00790AC8">
        <w:rPr>
          <w:rFonts w:eastAsia="Calibri"/>
          <w:b/>
          <w:i/>
          <w:sz w:val="28"/>
          <w:szCs w:val="28"/>
          <w:lang w:val="kk-KZ"/>
        </w:rPr>
        <w:t>3. Касательно методологии формирования индикаторов рынка труда.</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Бюро осуществляет формирование системы показателей по рынку труда на основе международных стандартов  Международной  организации труда (далее – МОТ) и Закона РК «О занятости населения» (статья 1). Система показателей и методология формирования сопоставима на международном уровне. </w:t>
      </w:r>
    </w:p>
    <w:p w:rsidR="00F20A3C" w:rsidRPr="00790AC8" w:rsidRDefault="00F20A3C" w:rsidP="00F20A3C">
      <w:pPr>
        <w:ind w:firstLine="709"/>
        <w:jc w:val="both"/>
        <w:rPr>
          <w:rFonts w:eastAsia="Calibri"/>
          <w:strike/>
          <w:sz w:val="28"/>
          <w:szCs w:val="28"/>
        </w:rPr>
      </w:pPr>
      <w:r w:rsidRPr="00790AC8">
        <w:rPr>
          <w:rFonts w:eastAsia="Calibri"/>
          <w:sz w:val="28"/>
          <w:szCs w:val="28"/>
          <w:lang w:val="kk-KZ"/>
        </w:rPr>
        <w:t xml:space="preserve">Основные индикаторы рынка труда, в том числе численность безработного населения формируются на основе выборочного обследования домашних хозяйств по занятости населения. </w:t>
      </w:r>
      <w:r w:rsidRPr="00790AC8">
        <w:rPr>
          <w:rFonts w:eastAsia="Calibri"/>
          <w:sz w:val="28"/>
          <w:szCs w:val="28"/>
        </w:rPr>
        <w:t xml:space="preserve">Обследование проводится на всей территории республики, на ежемесячной основе в сроки согласно Плану статистических работ. </w:t>
      </w:r>
    </w:p>
    <w:p w:rsidR="00F20A3C" w:rsidRPr="00790AC8" w:rsidRDefault="00F20A3C" w:rsidP="00F20A3C">
      <w:pPr>
        <w:autoSpaceDE w:val="0"/>
        <w:autoSpaceDN w:val="0"/>
        <w:adjustRightInd w:val="0"/>
        <w:ind w:firstLine="709"/>
        <w:jc w:val="both"/>
        <w:rPr>
          <w:rFonts w:eastAsia="Calibri"/>
          <w:sz w:val="28"/>
          <w:szCs w:val="28"/>
        </w:rPr>
      </w:pPr>
      <w:r w:rsidRPr="00790AC8">
        <w:rPr>
          <w:rFonts w:eastAsia="Calibri"/>
          <w:sz w:val="28"/>
          <w:szCs w:val="28"/>
        </w:rPr>
        <w:t>Согласно критериям МОТ, к безработным относятся лица в возрасте</w:t>
      </w:r>
      <w:r w:rsidR="00F00838">
        <w:rPr>
          <w:rFonts w:eastAsia="Calibri"/>
          <w:sz w:val="28"/>
          <w:szCs w:val="28"/>
          <w:lang w:val="kk-KZ"/>
        </w:rPr>
        <w:br/>
      </w:r>
      <w:r w:rsidRPr="00790AC8">
        <w:rPr>
          <w:rFonts w:eastAsia="Calibri"/>
          <w:sz w:val="28"/>
          <w:szCs w:val="28"/>
        </w:rPr>
        <w:t>15 лет и старше, которые отвечали одновременно трем основным критериям:</w:t>
      </w:r>
    </w:p>
    <w:p w:rsidR="00F20A3C" w:rsidRPr="00790AC8" w:rsidRDefault="00F20A3C" w:rsidP="00F20A3C">
      <w:pPr>
        <w:autoSpaceDE w:val="0"/>
        <w:autoSpaceDN w:val="0"/>
        <w:adjustRightInd w:val="0"/>
        <w:ind w:firstLine="709"/>
        <w:jc w:val="both"/>
        <w:rPr>
          <w:rFonts w:eastAsia="Calibri"/>
          <w:sz w:val="28"/>
          <w:szCs w:val="28"/>
        </w:rPr>
      </w:pPr>
      <w:r w:rsidRPr="00790AC8">
        <w:rPr>
          <w:rFonts w:eastAsia="Calibri"/>
          <w:sz w:val="28"/>
          <w:szCs w:val="28"/>
        </w:rPr>
        <w:t>были без работы (т.е. не имели доходного занятия),</w:t>
      </w:r>
    </w:p>
    <w:p w:rsidR="00F20A3C" w:rsidRPr="00790AC8" w:rsidRDefault="00F20A3C" w:rsidP="00F20A3C">
      <w:pPr>
        <w:spacing w:line="280" w:lineRule="atLeast"/>
        <w:ind w:firstLine="720"/>
        <w:jc w:val="both"/>
        <w:rPr>
          <w:sz w:val="28"/>
          <w:szCs w:val="28"/>
        </w:rPr>
      </w:pPr>
      <w:r w:rsidRPr="00790AC8">
        <w:rPr>
          <w:sz w:val="28"/>
          <w:szCs w:val="28"/>
        </w:rPr>
        <w:t>занимались активно ее поиском (т.е. обращались в службы занятости, искали работу самостоятельно с помощью объявлений в печати, в сети интернет, непосредственно обращались к работодателю, использовали личные связи, т.е. предпринимали действия по поиску работы),</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были готовы приступить к работе в течение ближайших двух недель.  </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То есть к безработным относятся лица, которые не работали, даже одного часа в неделю, искали работу и были готовы приступить сразу к работе. </w:t>
      </w:r>
    </w:p>
    <w:p w:rsidR="00F20A3C" w:rsidRPr="00790AC8" w:rsidRDefault="00F20A3C" w:rsidP="00F20A3C">
      <w:pPr>
        <w:spacing w:line="280" w:lineRule="atLeast"/>
        <w:ind w:firstLine="720"/>
        <w:jc w:val="both"/>
        <w:rPr>
          <w:sz w:val="28"/>
          <w:szCs w:val="28"/>
        </w:rPr>
      </w:pPr>
      <w:r w:rsidRPr="00790AC8">
        <w:rPr>
          <w:sz w:val="28"/>
          <w:szCs w:val="28"/>
        </w:rPr>
        <w:t xml:space="preserve">Таким образом, в общее число безработных включаются не только зарегистрированные безработные, но и безработные, ищущие работу самостоятельно без обращения в органы занятости. </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Уровень безработицы рассчитывается как доля безработных в численности рабочей силы, измеренная в процентах. Уровень молодежной безработицы рассчитывается аналогично. Сумма занятых и безработных лиц составляет численность рабочей силы. Обращаем внимание, что официально на конец декабря 2022г. в органах занятости Министерства труда и социальной защиты населения Республики Казахстан зарегистрированы </w:t>
      </w:r>
      <w:r w:rsidR="00F00838">
        <w:rPr>
          <w:rFonts w:eastAsia="Calibri"/>
          <w:sz w:val="28"/>
          <w:szCs w:val="28"/>
          <w:lang w:val="kk-KZ"/>
        </w:rPr>
        <w:br/>
      </w:r>
      <w:r w:rsidRPr="00790AC8">
        <w:rPr>
          <w:rFonts w:eastAsia="Calibri"/>
          <w:sz w:val="28"/>
          <w:szCs w:val="28"/>
        </w:rPr>
        <w:lastRenderedPageBreak/>
        <w:t>132,3 тыс. безработных. Доля зарегистрированных безработных составила 1,4% от рабочей силы.</w:t>
      </w:r>
    </w:p>
    <w:p w:rsidR="00F20A3C" w:rsidRPr="00790AC8" w:rsidRDefault="00F20A3C" w:rsidP="00F20A3C">
      <w:pPr>
        <w:ind w:firstLine="709"/>
        <w:jc w:val="both"/>
        <w:rPr>
          <w:rFonts w:eastAsia="Calibri"/>
          <w:sz w:val="28"/>
          <w:szCs w:val="28"/>
        </w:rPr>
      </w:pPr>
      <w:r w:rsidRPr="00790AC8">
        <w:rPr>
          <w:rFonts w:eastAsia="Calibri"/>
          <w:sz w:val="28"/>
          <w:szCs w:val="28"/>
        </w:rPr>
        <w:t xml:space="preserve">Учитывая реальную ситуацию на рынке труда и строгие границы стандартного уровня безработицы, Бюро на основе методологических рекомендаций МОТ, производит расчеты дополнительных оценок безработицы. </w:t>
      </w:r>
      <w:r w:rsidR="005C3812" w:rsidRPr="00790AC8">
        <w:rPr>
          <w:rFonts w:eastAsia="Calibri"/>
          <w:sz w:val="28"/>
          <w:szCs w:val="28"/>
          <w:lang w:val="kk-KZ"/>
        </w:rPr>
        <w:t>Они</w:t>
      </w:r>
      <w:r w:rsidRPr="00790AC8">
        <w:rPr>
          <w:rFonts w:eastAsia="Calibri"/>
          <w:sz w:val="28"/>
          <w:szCs w:val="28"/>
        </w:rPr>
        <w:t xml:space="preserve"> учитывают ситуацию с неполной занятостью по продолжительности рабочего времени,  потенциальную рабочую силу, то есть  лиц,  у которых соблюдается только один или два из трех критериев МОТ.</w:t>
      </w:r>
    </w:p>
    <w:p w:rsidR="00F20A3C" w:rsidRPr="00790AC8" w:rsidRDefault="005C3812" w:rsidP="00F20A3C">
      <w:pPr>
        <w:ind w:firstLine="709"/>
        <w:jc w:val="both"/>
        <w:rPr>
          <w:rFonts w:eastAsia="Calibri"/>
          <w:sz w:val="28"/>
          <w:szCs w:val="28"/>
        </w:rPr>
      </w:pPr>
      <w:r w:rsidRPr="00790AC8">
        <w:rPr>
          <w:rFonts w:eastAsia="Calibri"/>
          <w:sz w:val="28"/>
          <w:szCs w:val="28"/>
          <w:lang w:val="kk-KZ"/>
        </w:rPr>
        <w:t>Следует учитывать</w:t>
      </w:r>
      <w:r w:rsidRPr="00790AC8">
        <w:rPr>
          <w:rFonts w:eastAsia="Calibri"/>
          <w:sz w:val="28"/>
          <w:szCs w:val="28"/>
        </w:rPr>
        <w:t xml:space="preserve">, </w:t>
      </w:r>
      <w:r w:rsidR="00F20A3C" w:rsidRPr="00790AC8">
        <w:rPr>
          <w:rFonts w:eastAsia="Calibri"/>
          <w:sz w:val="28"/>
          <w:szCs w:val="28"/>
        </w:rPr>
        <w:t xml:space="preserve">что низкий уровень безработицы может указывать на то, что люди просто не могут позволить себе быть безработными. Они должны зарабатывать себе на жизнь в любых условиях – в неформальной экономике либо работая в неформальных условиях в формальной экономике или в низкодоходных секторах экономики, в личном подсобном хозяйстве. </w:t>
      </w:r>
    </w:p>
    <w:p w:rsidR="00F20A3C" w:rsidRPr="00790AC8" w:rsidRDefault="00F20A3C" w:rsidP="00F20A3C">
      <w:pPr>
        <w:ind w:firstLine="709"/>
        <w:jc w:val="both"/>
        <w:rPr>
          <w:rFonts w:eastAsia="Calibri"/>
          <w:strike/>
          <w:sz w:val="28"/>
          <w:szCs w:val="28"/>
          <w:lang w:val="kk-KZ"/>
        </w:rPr>
      </w:pPr>
      <w:r w:rsidRPr="00790AC8">
        <w:rPr>
          <w:rFonts w:eastAsia="Calibri"/>
          <w:sz w:val="28"/>
          <w:szCs w:val="28"/>
        </w:rPr>
        <w:t xml:space="preserve">Так по итогам 2022 года численность неформально занятого населения по РК составила 1151,1 тыс. человек. </w:t>
      </w:r>
    </w:p>
    <w:p w:rsidR="00F20A3C" w:rsidRPr="00790AC8" w:rsidRDefault="00F20A3C" w:rsidP="00F20A3C">
      <w:pPr>
        <w:ind w:firstLine="709"/>
        <w:jc w:val="both"/>
        <w:rPr>
          <w:rFonts w:eastAsia="Calibri"/>
          <w:strike/>
          <w:sz w:val="28"/>
          <w:szCs w:val="28"/>
          <w:lang w:val="kk-KZ"/>
        </w:rPr>
      </w:pPr>
      <w:r w:rsidRPr="00790AC8">
        <w:rPr>
          <w:rFonts w:eastAsia="Calibri"/>
          <w:b/>
          <w:sz w:val="28"/>
          <w:szCs w:val="28"/>
          <w:lang w:val="kk-KZ"/>
        </w:rPr>
        <w:t>По вопросу формирования показателя NEET.</w:t>
      </w:r>
      <w:r w:rsidRPr="00790AC8">
        <w:rPr>
          <w:rFonts w:eastAsia="Calibri"/>
          <w:sz w:val="28"/>
          <w:szCs w:val="28"/>
        </w:rPr>
        <w:t xml:space="preserve"> </w:t>
      </w:r>
    </w:p>
    <w:p w:rsidR="00F20A3C" w:rsidRPr="00790AC8" w:rsidRDefault="00F20A3C" w:rsidP="00F20A3C">
      <w:pPr>
        <w:ind w:firstLine="720"/>
        <w:jc w:val="both"/>
        <w:rPr>
          <w:rFonts w:eastAsia="Calibri"/>
          <w:sz w:val="28"/>
          <w:szCs w:val="28"/>
          <w:lang w:val="kk-KZ"/>
        </w:rPr>
      </w:pPr>
      <w:r w:rsidRPr="00790AC8">
        <w:rPr>
          <w:rFonts w:eastAsia="Calibri"/>
          <w:sz w:val="28"/>
          <w:szCs w:val="28"/>
          <w:lang w:val="kk-KZ"/>
        </w:rPr>
        <w:t xml:space="preserve">По определению МОТ, молодежь NEET – </w:t>
      </w:r>
      <w:r w:rsidRPr="00790AC8">
        <w:rPr>
          <w:sz w:val="28"/>
          <w:szCs w:val="28"/>
        </w:rPr>
        <w:t xml:space="preserve">это часть молодежи, которая не работает, не занятая образованием или профессиональной подготовкой, которая находится вне системы образования и сферы занятости и является потенциальным источником молодежного рынка труда. </w:t>
      </w:r>
      <w:r w:rsidRPr="00790AC8">
        <w:rPr>
          <w:rFonts w:eastAsia="Calibri"/>
          <w:sz w:val="28"/>
          <w:szCs w:val="28"/>
          <w:lang w:val="kk-KZ"/>
        </w:rPr>
        <w:t xml:space="preserve">По итогам 2022 года численность молодежи  NEET – 215,8 тыс. человек, доля молодежи NEET– 6,5%. </w:t>
      </w:r>
    </w:p>
    <w:p w:rsidR="00F20A3C" w:rsidRPr="00790AC8" w:rsidRDefault="00F20A3C" w:rsidP="00F20A3C">
      <w:pPr>
        <w:ind w:firstLine="709"/>
        <w:jc w:val="both"/>
        <w:rPr>
          <w:rFonts w:eastAsia="Calibri"/>
          <w:sz w:val="28"/>
          <w:szCs w:val="28"/>
          <w:lang w:val="kk-KZ"/>
        </w:rPr>
      </w:pPr>
      <w:r w:rsidRPr="00790AC8">
        <w:rPr>
          <w:rFonts w:eastAsia="Calibri"/>
          <w:sz w:val="28"/>
          <w:szCs w:val="28"/>
        </w:rPr>
        <w:t xml:space="preserve">Отмечаем, что самостоятельно занятые – это лица, занятые производством (реализацией) товаров, работ и услуг индивидуально без договора найма. Эта группа не относится к категории молодежи NEET, так как являются занятыми. За </w:t>
      </w:r>
      <w:r w:rsidRPr="00790AC8">
        <w:rPr>
          <w:rFonts w:eastAsia="Calibri"/>
          <w:sz w:val="28"/>
          <w:szCs w:val="28"/>
          <w:lang w:val="kk-KZ"/>
        </w:rPr>
        <w:t>2022 год численность самостоятельно занятой молодежи составила 408 тыс. человек.</w:t>
      </w:r>
    </w:p>
    <w:p w:rsidR="00F20A3C" w:rsidRPr="00790AC8" w:rsidRDefault="005C3812" w:rsidP="00F20A3C">
      <w:pPr>
        <w:ind w:firstLine="709"/>
        <w:jc w:val="both"/>
        <w:rPr>
          <w:b/>
          <w:i/>
          <w:sz w:val="28"/>
          <w:szCs w:val="28"/>
          <w:lang w:val="kk-KZ"/>
        </w:rPr>
      </w:pPr>
      <w:r w:rsidRPr="00790AC8">
        <w:rPr>
          <w:rFonts w:eastAsia="Calibri"/>
          <w:sz w:val="28"/>
          <w:szCs w:val="28"/>
          <w:lang w:val="kk-KZ"/>
        </w:rPr>
        <w:t>С</w:t>
      </w:r>
      <w:r w:rsidRPr="00790AC8">
        <w:rPr>
          <w:rFonts w:eastAsia="Calibri"/>
          <w:sz w:val="28"/>
          <w:szCs w:val="28"/>
        </w:rPr>
        <w:t xml:space="preserve"> 1 квартала 2023 года </w:t>
      </w:r>
      <w:r w:rsidRPr="00790AC8">
        <w:rPr>
          <w:rFonts w:eastAsia="Calibri"/>
          <w:sz w:val="28"/>
          <w:szCs w:val="28"/>
          <w:lang w:val="kk-KZ"/>
        </w:rPr>
        <w:t xml:space="preserve">Бюро </w:t>
      </w:r>
      <w:r w:rsidR="00F20A3C" w:rsidRPr="00790AC8">
        <w:rPr>
          <w:rFonts w:eastAsia="Calibri"/>
          <w:sz w:val="28"/>
          <w:szCs w:val="28"/>
        </w:rPr>
        <w:t>формирует и публикует информацию по молодежи в возрастных границах 15-34 года включительно согласно Закону РК «О государственной молодежной политике».</w:t>
      </w:r>
    </w:p>
    <w:p w:rsidR="00F20A3C" w:rsidRPr="00790AC8" w:rsidRDefault="00F20A3C" w:rsidP="00F20A3C">
      <w:pPr>
        <w:spacing w:line="264" w:lineRule="auto"/>
        <w:ind w:left="709" w:right="142"/>
        <w:jc w:val="both"/>
        <w:rPr>
          <w:b/>
          <w:lang w:val="kk-KZ"/>
        </w:rPr>
      </w:pPr>
    </w:p>
    <w:p w:rsidR="00F20A3C" w:rsidRPr="00790AC8" w:rsidRDefault="00F20A3C" w:rsidP="00F20A3C">
      <w:pPr>
        <w:spacing w:line="264" w:lineRule="auto"/>
        <w:ind w:left="709" w:right="142"/>
        <w:jc w:val="both"/>
        <w:rPr>
          <w:b/>
          <w:lang w:val="kk-KZ"/>
        </w:rPr>
      </w:pPr>
    </w:p>
    <w:p w:rsidR="00F20A3C" w:rsidRPr="00790AC8" w:rsidRDefault="00F20A3C" w:rsidP="00F20A3C">
      <w:pPr>
        <w:spacing w:line="264" w:lineRule="auto"/>
        <w:ind w:left="709" w:right="142"/>
        <w:jc w:val="both"/>
        <w:rPr>
          <w:b/>
          <w:sz w:val="28"/>
          <w:szCs w:val="28"/>
          <w:lang w:val="kk-KZ"/>
        </w:rPr>
      </w:pPr>
      <w:r w:rsidRPr="00790AC8">
        <w:rPr>
          <w:b/>
          <w:sz w:val="28"/>
          <w:szCs w:val="28"/>
          <w:lang w:val="kk-KZ"/>
        </w:rPr>
        <w:t>Председатель Агентства</w:t>
      </w:r>
    </w:p>
    <w:p w:rsidR="00F20A3C" w:rsidRPr="00790AC8" w:rsidRDefault="00F20A3C" w:rsidP="00F20A3C">
      <w:pPr>
        <w:spacing w:line="264" w:lineRule="auto"/>
        <w:ind w:left="709" w:right="142"/>
        <w:jc w:val="both"/>
        <w:rPr>
          <w:b/>
          <w:sz w:val="28"/>
          <w:szCs w:val="28"/>
          <w:lang w:val="kk-KZ"/>
        </w:rPr>
      </w:pPr>
      <w:r w:rsidRPr="00790AC8">
        <w:rPr>
          <w:b/>
          <w:sz w:val="28"/>
          <w:szCs w:val="28"/>
          <w:lang w:val="kk-KZ"/>
        </w:rPr>
        <w:t xml:space="preserve">по стратегическому </w:t>
      </w:r>
    </w:p>
    <w:p w:rsidR="00F20A3C" w:rsidRPr="00790AC8" w:rsidRDefault="00F20A3C" w:rsidP="00F20A3C">
      <w:pPr>
        <w:spacing w:line="264" w:lineRule="auto"/>
        <w:ind w:left="709" w:right="142"/>
        <w:jc w:val="both"/>
        <w:rPr>
          <w:b/>
          <w:sz w:val="28"/>
          <w:szCs w:val="28"/>
          <w:lang w:val="kk-KZ"/>
        </w:rPr>
      </w:pPr>
      <w:r w:rsidRPr="00790AC8">
        <w:rPr>
          <w:b/>
          <w:sz w:val="28"/>
          <w:szCs w:val="28"/>
          <w:lang w:val="kk-KZ"/>
        </w:rPr>
        <w:t>планированию и реформам</w:t>
      </w:r>
    </w:p>
    <w:p w:rsidR="00F20A3C" w:rsidRPr="00790AC8" w:rsidRDefault="00F20A3C" w:rsidP="00F20A3C">
      <w:pPr>
        <w:spacing w:line="264" w:lineRule="auto"/>
        <w:ind w:left="709" w:right="142"/>
        <w:jc w:val="both"/>
        <w:rPr>
          <w:b/>
          <w:sz w:val="28"/>
          <w:szCs w:val="28"/>
          <w:lang w:val="kk-KZ"/>
        </w:rPr>
      </w:pPr>
      <w:r w:rsidRPr="00790AC8">
        <w:rPr>
          <w:b/>
          <w:sz w:val="28"/>
          <w:szCs w:val="28"/>
          <w:lang w:val="kk-KZ"/>
        </w:rPr>
        <w:t>Республики Казахстан</w:t>
      </w:r>
      <w:r w:rsidRPr="00790AC8">
        <w:rPr>
          <w:b/>
          <w:sz w:val="28"/>
          <w:szCs w:val="28"/>
        </w:rPr>
        <w:tab/>
      </w:r>
      <w:r w:rsidRPr="00790AC8">
        <w:rPr>
          <w:b/>
          <w:sz w:val="28"/>
          <w:szCs w:val="28"/>
        </w:rPr>
        <w:tab/>
      </w:r>
      <w:r w:rsidRPr="00790AC8">
        <w:rPr>
          <w:b/>
          <w:sz w:val="28"/>
          <w:szCs w:val="28"/>
        </w:rPr>
        <w:tab/>
      </w:r>
      <w:r w:rsidRPr="00790AC8">
        <w:rPr>
          <w:b/>
          <w:sz w:val="28"/>
          <w:szCs w:val="28"/>
        </w:rPr>
        <w:tab/>
      </w:r>
      <w:r w:rsidRPr="00790AC8">
        <w:rPr>
          <w:b/>
          <w:sz w:val="28"/>
          <w:szCs w:val="28"/>
          <w:lang w:val="kk-KZ"/>
        </w:rPr>
        <w:tab/>
      </w:r>
      <w:r w:rsidRPr="00790AC8">
        <w:rPr>
          <w:b/>
          <w:sz w:val="28"/>
          <w:szCs w:val="28"/>
          <w:lang w:val="kk-KZ"/>
        </w:rPr>
        <w:tab/>
        <w:t>А. Иргалиев</w:t>
      </w:r>
    </w:p>
    <w:p w:rsidR="00F20A3C" w:rsidRPr="00790AC8" w:rsidRDefault="00F20A3C" w:rsidP="00F20A3C"/>
    <w:p w:rsidR="00790AC8" w:rsidRDefault="00790AC8" w:rsidP="00F20A3C"/>
    <w:p w:rsidR="00790AC8" w:rsidRDefault="00790AC8" w:rsidP="00F20A3C"/>
    <w:p w:rsidR="00790AC8" w:rsidRDefault="00790AC8" w:rsidP="00F20A3C"/>
    <w:p w:rsidR="00790AC8" w:rsidRDefault="00790AC8" w:rsidP="00F20A3C"/>
    <w:p w:rsidR="00790AC8" w:rsidRPr="00790AC8" w:rsidRDefault="00790AC8" w:rsidP="00F20A3C"/>
    <w:p w:rsidR="00987C73" w:rsidRPr="00790AC8" w:rsidRDefault="00987C73" w:rsidP="00F20A3C"/>
    <w:p w:rsidR="00987C73" w:rsidRPr="00790AC8" w:rsidRDefault="00987C73" w:rsidP="00F20A3C"/>
    <w:p w:rsidR="00F20A3C" w:rsidRPr="00790AC8" w:rsidRDefault="00F20A3C" w:rsidP="00F20A3C">
      <w:pPr>
        <w:rPr>
          <w:lang w:val="kk-KZ"/>
        </w:rPr>
      </w:pPr>
      <w:r w:rsidRPr="00790AC8">
        <w:t>Исп. Кобегенова Д</w:t>
      </w:r>
      <w:r w:rsidRPr="00790AC8">
        <w:rPr>
          <w:lang w:val="kk-KZ"/>
        </w:rPr>
        <w:t>., Бекишева Г.</w:t>
      </w:r>
    </w:p>
    <w:p w:rsidR="00F20A3C" w:rsidRPr="00F20A3C" w:rsidRDefault="00F20A3C" w:rsidP="00F20A3C">
      <w:pPr>
        <w:rPr>
          <w:lang w:val="kk-KZ"/>
        </w:rPr>
      </w:pPr>
      <w:r w:rsidRPr="00790AC8">
        <w:t>Тел. 74-97-76</w:t>
      </w:r>
      <w:r w:rsidRPr="00790AC8">
        <w:rPr>
          <w:lang w:val="kk-KZ"/>
        </w:rPr>
        <w:t>, 74-95-04</w:t>
      </w:r>
    </w:p>
    <w:p w:rsidR="00F20A3C" w:rsidRPr="00581C07" w:rsidRDefault="00F20A3C" w:rsidP="007864B2">
      <w:pPr>
        <w:rPr>
          <w:color w:val="548DD4" w:themeColor="text2" w:themeTint="99"/>
          <w:sz w:val="28"/>
          <w:szCs w:val="28"/>
        </w:rPr>
      </w:pPr>
    </w:p>
    <w:sectPr w:rsidR="00F20A3C" w:rsidRPr="00581C07" w:rsidSect="00721B16">
      <w:headerReference w:type="default" r:id="rId11"/>
      <w:pgSz w:w="11906" w:h="16838"/>
      <w:pgMar w:top="567" w:right="851"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EA8" w:rsidRDefault="00427EA8" w:rsidP="00B85B9D">
      <w:r>
        <w:separator/>
      </w:r>
    </w:p>
  </w:endnote>
  <w:endnote w:type="continuationSeparator" w:id="1">
    <w:p w:rsidR="00427EA8" w:rsidRDefault="00427EA8" w:rsidP="00B85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EA8" w:rsidRDefault="00427EA8" w:rsidP="00B85B9D">
      <w:r>
        <w:separator/>
      </w:r>
    </w:p>
  </w:footnote>
  <w:footnote w:type="continuationSeparator" w:id="1">
    <w:p w:rsidR="00427EA8" w:rsidRDefault="00427EA8" w:rsidP="00B85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063"/>
      <w:docPartObj>
        <w:docPartGallery w:val="Page Numbers (Top of Page)"/>
        <w:docPartUnique/>
      </w:docPartObj>
    </w:sdtPr>
    <w:sdtContent>
      <w:p w:rsidR="007D6986" w:rsidRDefault="009A4505">
        <w:pPr>
          <w:pStyle w:val="af2"/>
          <w:jc w:val="center"/>
        </w:pPr>
        <w:fldSimple w:instr=" PAGE   \* MERGEFORMAT ">
          <w:r w:rsidR="00917F7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7">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8A1E3C"/>
    <w:multiLevelType w:val="hybridMultilevel"/>
    <w:tmpl w:val="9B8A794E"/>
    <w:lvl w:ilvl="0" w:tplc="DBC833EE">
      <w:start w:val="1"/>
      <w:numFmt w:val="decimal"/>
      <w:lvlText w:val="%1."/>
      <w:lvlJc w:val="left"/>
      <w:pPr>
        <w:ind w:left="659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6"/>
  </w:num>
  <w:num w:numId="6">
    <w:abstractNumId w:val="9"/>
  </w:num>
  <w:num w:numId="7">
    <w:abstractNumId w:val="5"/>
  </w:num>
  <w:num w:numId="8">
    <w:abstractNumId w:val="11"/>
  </w:num>
  <w:num w:numId="9">
    <w:abstractNumId w:val="0"/>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hdrShapeDefaults>
    <o:shapedefaults v:ext="edit" spidmax="18434"/>
  </w:hdrShapeDefaults>
  <w:footnotePr>
    <w:footnote w:id="0"/>
    <w:footnote w:id="1"/>
  </w:footnotePr>
  <w:endnotePr>
    <w:endnote w:id="0"/>
    <w:endnote w:id="1"/>
  </w:endnotePr>
  <w:compat/>
  <w:rsids>
    <w:rsidRoot w:val="001B4C68"/>
    <w:rsid w:val="00010E7E"/>
    <w:rsid w:val="00021AEC"/>
    <w:rsid w:val="00021D7D"/>
    <w:rsid w:val="00022749"/>
    <w:rsid w:val="00024D9A"/>
    <w:rsid w:val="00041E1A"/>
    <w:rsid w:val="00042B53"/>
    <w:rsid w:val="00047342"/>
    <w:rsid w:val="00052819"/>
    <w:rsid w:val="00057217"/>
    <w:rsid w:val="0006125F"/>
    <w:rsid w:val="00074CA4"/>
    <w:rsid w:val="0009771F"/>
    <w:rsid w:val="000A32CD"/>
    <w:rsid w:val="000B2046"/>
    <w:rsid w:val="000B2682"/>
    <w:rsid w:val="000C3EA7"/>
    <w:rsid w:val="000C497F"/>
    <w:rsid w:val="000D0526"/>
    <w:rsid w:val="000E75C1"/>
    <w:rsid w:val="000F0C0F"/>
    <w:rsid w:val="000F4B47"/>
    <w:rsid w:val="001015C3"/>
    <w:rsid w:val="00106431"/>
    <w:rsid w:val="001104E8"/>
    <w:rsid w:val="001108A1"/>
    <w:rsid w:val="00116661"/>
    <w:rsid w:val="00137903"/>
    <w:rsid w:val="00142609"/>
    <w:rsid w:val="0015788C"/>
    <w:rsid w:val="00174D38"/>
    <w:rsid w:val="001777B4"/>
    <w:rsid w:val="00190449"/>
    <w:rsid w:val="00193647"/>
    <w:rsid w:val="001A07F6"/>
    <w:rsid w:val="001B4A2F"/>
    <w:rsid w:val="001B4C68"/>
    <w:rsid w:val="001B50AF"/>
    <w:rsid w:val="001D2C17"/>
    <w:rsid w:val="001E21FF"/>
    <w:rsid w:val="001E5796"/>
    <w:rsid w:val="001F692D"/>
    <w:rsid w:val="002020B2"/>
    <w:rsid w:val="002311CB"/>
    <w:rsid w:val="00233EFB"/>
    <w:rsid w:val="0025205E"/>
    <w:rsid w:val="0025627A"/>
    <w:rsid w:val="002668C8"/>
    <w:rsid w:val="00271A93"/>
    <w:rsid w:val="00272A73"/>
    <w:rsid w:val="00274FFC"/>
    <w:rsid w:val="0027563C"/>
    <w:rsid w:val="00283488"/>
    <w:rsid w:val="002877DC"/>
    <w:rsid w:val="00292354"/>
    <w:rsid w:val="002A4EDD"/>
    <w:rsid w:val="002A5941"/>
    <w:rsid w:val="002B2243"/>
    <w:rsid w:val="002B381F"/>
    <w:rsid w:val="002B3EA0"/>
    <w:rsid w:val="002C24C7"/>
    <w:rsid w:val="002C5667"/>
    <w:rsid w:val="002C79B8"/>
    <w:rsid w:val="002E28E3"/>
    <w:rsid w:val="002F4A92"/>
    <w:rsid w:val="00306CAD"/>
    <w:rsid w:val="00307A69"/>
    <w:rsid w:val="00310AED"/>
    <w:rsid w:val="00317FD2"/>
    <w:rsid w:val="00343EFB"/>
    <w:rsid w:val="00344326"/>
    <w:rsid w:val="003532F3"/>
    <w:rsid w:val="00362E01"/>
    <w:rsid w:val="003635A3"/>
    <w:rsid w:val="003753C0"/>
    <w:rsid w:val="00383BD8"/>
    <w:rsid w:val="00396261"/>
    <w:rsid w:val="003A1FB4"/>
    <w:rsid w:val="003A3D87"/>
    <w:rsid w:val="003B18AC"/>
    <w:rsid w:val="003B6405"/>
    <w:rsid w:val="003C440E"/>
    <w:rsid w:val="003D0115"/>
    <w:rsid w:val="003D0620"/>
    <w:rsid w:val="003D0BC1"/>
    <w:rsid w:val="003E24C3"/>
    <w:rsid w:val="003E5ECC"/>
    <w:rsid w:val="00400E73"/>
    <w:rsid w:val="00407D14"/>
    <w:rsid w:val="004133BF"/>
    <w:rsid w:val="00417C21"/>
    <w:rsid w:val="0042310A"/>
    <w:rsid w:val="00427EA8"/>
    <w:rsid w:val="0043358D"/>
    <w:rsid w:val="00433C4C"/>
    <w:rsid w:val="0043479D"/>
    <w:rsid w:val="00434AC8"/>
    <w:rsid w:val="00435ACF"/>
    <w:rsid w:val="004372F1"/>
    <w:rsid w:val="00437962"/>
    <w:rsid w:val="00440CB0"/>
    <w:rsid w:val="00442AA7"/>
    <w:rsid w:val="004476DF"/>
    <w:rsid w:val="00461F88"/>
    <w:rsid w:val="004627A8"/>
    <w:rsid w:val="00465001"/>
    <w:rsid w:val="004805FE"/>
    <w:rsid w:val="0048235A"/>
    <w:rsid w:val="00484B71"/>
    <w:rsid w:val="0048671F"/>
    <w:rsid w:val="00487A6D"/>
    <w:rsid w:val="004977BC"/>
    <w:rsid w:val="004A2427"/>
    <w:rsid w:val="004A6EC5"/>
    <w:rsid w:val="004C5862"/>
    <w:rsid w:val="004C5AD0"/>
    <w:rsid w:val="004D52E9"/>
    <w:rsid w:val="004D5363"/>
    <w:rsid w:val="004F1006"/>
    <w:rsid w:val="004F242D"/>
    <w:rsid w:val="004F43FA"/>
    <w:rsid w:val="00500B89"/>
    <w:rsid w:val="005026F5"/>
    <w:rsid w:val="00511EC8"/>
    <w:rsid w:val="005278AA"/>
    <w:rsid w:val="00531CB4"/>
    <w:rsid w:val="005324C0"/>
    <w:rsid w:val="0053649F"/>
    <w:rsid w:val="00536FBE"/>
    <w:rsid w:val="005440FA"/>
    <w:rsid w:val="005508B5"/>
    <w:rsid w:val="0055776D"/>
    <w:rsid w:val="005616B6"/>
    <w:rsid w:val="00581C07"/>
    <w:rsid w:val="00587A87"/>
    <w:rsid w:val="005B1CEA"/>
    <w:rsid w:val="005C3812"/>
    <w:rsid w:val="005F780B"/>
    <w:rsid w:val="00602FF3"/>
    <w:rsid w:val="00612AF1"/>
    <w:rsid w:val="00612F4A"/>
    <w:rsid w:val="00617B9E"/>
    <w:rsid w:val="006237BC"/>
    <w:rsid w:val="00632F6D"/>
    <w:rsid w:val="00634C08"/>
    <w:rsid w:val="006510DC"/>
    <w:rsid w:val="00666A2C"/>
    <w:rsid w:val="00666E97"/>
    <w:rsid w:val="006676A2"/>
    <w:rsid w:val="006751CA"/>
    <w:rsid w:val="0067601F"/>
    <w:rsid w:val="00692673"/>
    <w:rsid w:val="00692777"/>
    <w:rsid w:val="00693FA7"/>
    <w:rsid w:val="006A5D52"/>
    <w:rsid w:val="006A6FFB"/>
    <w:rsid w:val="006C0F24"/>
    <w:rsid w:val="006C3FFB"/>
    <w:rsid w:val="006E6A2D"/>
    <w:rsid w:val="006E6F35"/>
    <w:rsid w:val="006F5C1B"/>
    <w:rsid w:val="0070072E"/>
    <w:rsid w:val="007040DD"/>
    <w:rsid w:val="00707695"/>
    <w:rsid w:val="0071249A"/>
    <w:rsid w:val="00713A5D"/>
    <w:rsid w:val="007146CE"/>
    <w:rsid w:val="007171C1"/>
    <w:rsid w:val="00720A41"/>
    <w:rsid w:val="00721B16"/>
    <w:rsid w:val="007230A1"/>
    <w:rsid w:val="00723B08"/>
    <w:rsid w:val="00725FC0"/>
    <w:rsid w:val="00726CA4"/>
    <w:rsid w:val="00745815"/>
    <w:rsid w:val="00750BE8"/>
    <w:rsid w:val="00764B52"/>
    <w:rsid w:val="00782C0C"/>
    <w:rsid w:val="00783722"/>
    <w:rsid w:val="00784CC3"/>
    <w:rsid w:val="007864B2"/>
    <w:rsid w:val="00790AC8"/>
    <w:rsid w:val="00791255"/>
    <w:rsid w:val="007A5EB9"/>
    <w:rsid w:val="007B7B2D"/>
    <w:rsid w:val="007C5B4D"/>
    <w:rsid w:val="007C6496"/>
    <w:rsid w:val="007D3B82"/>
    <w:rsid w:val="007D6986"/>
    <w:rsid w:val="007F3CFF"/>
    <w:rsid w:val="007F754C"/>
    <w:rsid w:val="008003F1"/>
    <w:rsid w:val="00801EE5"/>
    <w:rsid w:val="0080640C"/>
    <w:rsid w:val="008075F3"/>
    <w:rsid w:val="00822B2C"/>
    <w:rsid w:val="00830348"/>
    <w:rsid w:val="00831536"/>
    <w:rsid w:val="008359AB"/>
    <w:rsid w:val="008366EF"/>
    <w:rsid w:val="0084187F"/>
    <w:rsid w:val="00861E3B"/>
    <w:rsid w:val="008651D0"/>
    <w:rsid w:val="00870847"/>
    <w:rsid w:val="00872C7A"/>
    <w:rsid w:val="008819EC"/>
    <w:rsid w:val="00883C48"/>
    <w:rsid w:val="008A168A"/>
    <w:rsid w:val="008A39CD"/>
    <w:rsid w:val="008D3D79"/>
    <w:rsid w:val="008D3EBB"/>
    <w:rsid w:val="008E76E5"/>
    <w:rsid w:val="008F5E3C"/>
    <w:rsid w:val="00901A47"/>
    <w:rsid w:val="00905D93"/>
    <w:rsid w:val="0090609E"/>
    <w:rsid w:val="00917F7C"/>
    <w:rsid w:val="009226A5"/>
    <w:rsid w:val="00927AD2"/>
    <w:rsid w:val="00931EEA"/>
    <w:rsid w:val="00946763"/>
    <w:rsid w:val="00960F62"/>
    <w:rsid w:val="00963333"/>
    <w:rsid w:val="0096570C"/>
    <w:rsid w:val="009759FD"/>
    <w:rsid w:val="0097621A"/>
    <w:rsid w:val="00987C73"/>
    <w:rsid w:val="00994630"/>
    <w:rsid w:val="009A406F"/>
    <w:rsid w:val="009A4505"/>
    <w:rsid w:val="009B3085"/>
    <w:rsid w:val="009C0AB1"/>
    <w:rsid w:val="009C18EF"/>
    <w:rsid w:val="009C29E4"/>
    <w:rsid w:val="009C315F"/>
    <w:rsid w:val="009C5BFE"/>
    <w:rsid w:val="009D53DB"/>
    <w:rsid w:val="009E02E9"/>
    <w:rsid w:val="009F57F0"/>
    <w:rsid w:val="009F7396"/>
    <w:rsid w:val="00A00994"/>
    <w:rsid w:val="00A03DAB"/>
    <w:rsid w:val="00A048EF"/>
    <w:rsid w:val="00A04A6D"/>
    <w:rsid w:val="00A04ECB"/>
    <w:rsid w:val="00A23A95"/>
    <w:rsid w:val="00A2670C"/>
    <w:rsid w:val="00A3627B"/>
    <w:rsid w:val="00A532E9"/>
    <w:rsid w:val="00A57F69"/>
    <w:rsid w:val="00A6073B"/>
    <w:rsid w:val="00A70518"/>
    <w:rsid w:val="00AA045F"/>
    <w:rsid w:val="00AA65E4"/>
    <w:rsid w:val="00AC3BA6"/>
    <w:rsid w:val="00AD4C9A"/>
    <w:rsid w:val="00AE0836"/>
    <w:rsid w:val="00AE31E4"/>
    <w:rsid w:val="00B00487"/>
    <w:rsid w:val="00B1614F"/>
    <w:rsid w:val="00B21BA9"/>
    <w:rsid w:val="00B224CF"/>
    <w:rsid w:val="00B43C4E"/>
    <w:rsid w:val="00B47611"/>
    <w:rsid w:val="00B51B2D"/>
    <w:rsid w:val="00B56165"/>
    <w:rsid w:val="00B56337"/>
    <w:rsid w:val="00B70CCA"/>
    <w:rsid w:val="00B85B9D"/>
    <w:rsid w:val="00BA5BD9"/>
    <w:rsid w:val="00BB40F9"/>
    <w:rsid w:val="00BB6965"/>
    <w:rsid w:val="00BE5B5E"/>
    <w:rsid w:val="00BF1DD0"/>
    <w:rsid w:val="00BF33BC"/>
    <w:rsid w:val="00BF65F3"/>
    <w:rsid w:val="00BF6F98"/>
    <w:rsid w:val="00C015D9"/>
    <w:rsid w:val="00C02656"/>
    <w:rsid w:val="00C05404"/>
    <w:rsid w:val="00C0562A"/>
    <w:rsid w:val="00C12AAE"/>
    <w:rsid w:val="00C22E94"/>
    <w:rsid w:val="00C2662A"/>
    <w:rsid w:val="00C36793"/>
    <w:rsid w:val="00C370A0"/>
    <w:rsid w:val="00C57DBF"/>
    <w:rsid w:val="00C60593"/>
    <w:rsid w:val="00C6108F"/>
    <w:rsid w:val="00C83583"/>
    <w:rsid w:val="00C91837"/>
    <w:rsid w:val="00C93C91"/>
    <w:rsid w:val="00CA3EF9"/>
    <w:rsid w:val="00CB4B8B"/>
    <w:rsid w:val="00CB6B5E"/>
    <w:rsid w:val="00CC097B"/>
    <w:rsid w:val="00CC166B"/>
    <w:rsid w:val="00CC41BE"/>
    <w:rsid w:val="00CD1FA0"/>
    <w:rsid w:val="00CD33DB"/>
    <w:rsid w:val="00CE5610"/>
    <w:rsid w:val="00CF68A0"/>
    <w:rsid w:val="00D20D25"/>
    <w:rsid w:val="00D32E3A"/>
    <w:rsid w:val="00D37B6A"/>
    <w:rsid w:val="00D443DF"/>
    <w:rsid w:val="00D45869"/>
    <w:rsid w:val="00D459F0"/>
    <w:rsid w:val="00D545B0"/>
    <w:rsid w:val="00D708AD"/>
    <w:rsid w:val="00D776C9"/>
    <w:rsid w:val="00D77F6F"/>
    <w:rsid w:val="00D97AE8"/>
    <w:rsid w:val="00DB0697"/>
    <w:rsid w:val="00DB57CE"/>
    <w:rsid w:val="00DC4E67"/>
    <w:rsid w:val="00DD4AAA"/>
    <w:rsid w:val="00DE6EA1"/>
    <w:rsid w:val="00E03804"/>
    <w:rsid w:val="00E03999"/>
    <w:rsid w:val="00E063BE"/>
    <w:rsid w:val="00E11461"/>
    <w:rsid w:val="00E24ACC"/>
    <w:rsid w:val="00E3781F"/>
    <w:rsid w:val="00E64435"/>
    <w:rsid w:val="00E67279"/>
    <w:rsid w:val="00E67549"/>
    <w:rsid w:val="00E677CD"/>
    <w:rsid w:val="00E701B3"/>
    <w:rsid w:val="00E7485B"/>
    <w:rsid w:val="00E80189"/>
    <w:rsid w:val="00E81C96"/>
    <w:rsid w:val="00E81D6F"/>
    <w:rsid w:val="00E839E1"/>
    <w:rsid w:val="00EA693D"/>
    <w:rsid w:val="00EB5A99"/>
    <w:rsid w:val="00EC24A0"/>
    <w:rsid w:val="00EC3163"/>
    <w:rsid w:val="00EC3BBE"/>
    <w:rsid w:val="00ED29A1"/>
    <w:rsid w:val="00EE1D99"/>
    <w:rsid w:val="00EE4417"/>
    <w:rsid w:val="00F00838"/>
    <w:rsid w:val="00F061E1"/>
    <w:rsid w:val="00F06D83"/>
    <w:rsid w:val="00F11227"/>
    <w:rsid w:val="00F13D91"/>
    <w:rsid w:val="00F15A4E"/>
    <w:rsid w:val="00F20A3C"/>
    <w:rsid w:val="00F2190F"/>
    <w:rsid w:val="00F3272B"/>
    <w:rsid w:val="00F37150"/>
    <w:rsid w:val="00F463B6"/>
    <w:rsid w:val="00F5680D"/>
    <w:rsid w:val="00F75CC1"/>
    <w:rsid w:val="00F85AB8"/>
    <w:rsid w:val="00F9245E"/>
    <w:rsid w:val="00F926CF"/>
    <w:rsid w:val="00F94BD6"/>
    <w:rsid w:val="00FA55D5"/>
    <w:rsid w:val="00FE5A2B"/>
    <w:rsid w:val="00FF487F"/>
    <w:rsid w:val="00FF60DB"/>
    <w:rsid w:val="00FF7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B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rPr>
  </w:style>
  <w:style w:type="character" w:customStyle="1" w:styleId="Char">
    <w:name w:val="титульный лист центр Char"/>
    <w:link w:val="af"/>
    <w:rsid w:val="00041E1A"/>
    <w:rPr>
      <w:b/>
      <w:bCs/>
      <w:sz w:val="28"/>
      <w:szCs w:val="28"/>
    </w:rPr>
  </w:style>
  <w:style w:type="character" w:styleId="af0">
    <w:name w:val="Hyperlink"/>
    <w:rsid w:val="002668C8"/>
    <w:rPr>
      <w:color w:val="0000FF"/>
      <w:u w:val="single"/>
    </w:rPr>
  </w:style>
  <w:style w:type="table" w:styleId="af1">
    <w:name w:val="Table Grid"/>
    <w:basedOn w:val="a1"/>
    <w:rsid w:val="00707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paragraph" w:styleId="af6">
    <w:name w:val="Normal (Web)"/>
    <w:basedOn w:val="a"/>
    <w:uiPriority w:val="99"/>
    <w:semiHidden/>
    <w:unhideWhenUsed/>
    <w:rsid w:val="00F926CF"/>
    <w:pPr>
      <w:spacing w:before="100" w:beforeAutospacing="1" w:after="100" w:afterAutospacing="1"/>
    </w:pPr>
  </w:style>
  <w:style w:type="paragraph" w:styleId="af7">
    <w:name w:val="No Spacing"/>
    <w:uiPriority w:val="1"/>
    <w:qFormat/>
    <w:rsid w:val="000F4B47"/>
    <w:rPr>
      <w:rFonts w:asciiTheme="minorHAnsi" w:eastAsiaTheme="minorHAnsi" w:hAnsiTheme="minorHAnsi" w:cstheme="minorBidi"/>
      <w:sz w:val="22"/>
      <w:szCs w:val="22"/>
      <w:lang w:eastAsia="en-US"/>
    </w:rPr>
  </w:style>
  <w:style w:type="paragraph" w:customStyle="1" w:styleId="OsnTxt">
    <w:name w:val="OsnTxt"/>
    <w:link w:val="OsnTxt0"/>
    <w:rsid w:val="005C3812"/>
    <w:pPr>
      <w:spacing w:line="280" w:lineRule="exact"/>
      <w:ind w:firstLine="794"/>
      <w:jc w:val="both"/>
    </w:pPr>
    <w:rPr>
      <w:rFonts w:ascii="Arial" w:hAnsi="Arial"/>
    </w:rPr>
  </w:style>
  <w:style w:type="character" w:customStyle="1" w:styleId="OsnTxt0">
    <w:name w:val="OsnTxt Знак"/>
    <w:basedOn w:val="a0"/>
    <w:link w:val="OsnTxt"/>
    <w:rsid w:val="005C3812"/>
    <w:rPr>
      <w:rFonts w:ascii="Arial" w:hAnsi="Arial"/>
    </w:rPr>
  </w:style>
</w:styles>
</file>

<file path=word/webSettings.xml><?xml version="1.0" encoding="utf-8"?>
<w:webSettings xmlns:r="http://schemas.openxmlformats.org/officeDocument/2006/relationships" xmlns:w="http://schemas.openxmlformats.org/wordprocessingml/2006/main">
  <w:divs>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stat.gov.kz/ru/instuments/dashboards/876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786597996823405E-2"/>
          <c:y val="2.184314767402604E-2"/>
          <c:w val="0.96225430552848634"/>
          <c:h val="0.72404151168220565"/>
        </c:manualLayout>
      </c:layout>
      <c:barChart>
        <c:barDir val="col"/>
        <c:grouping val="clustered"/>
        <c:ser>
          <c:idx val="0"/>
          <c:order val="0"/>
          <c:tx>
            <c:strRef>
              <c:f>'медиана 2022'!$S$4</c:f>
              <c:strCache>
                <c:ptCount val="1"/>
                <c:pt idx="0">
                  <c:v>Частота (удель-
ный вес), 
%
(m )
</c:v>
                </c:pt>
              </c:strCache>
            </c:strRef>
          </c:tx>
          <c:spPr>
            <a:effectLst/>
          </c:spPr>
          <c:cat>
            <c:strRef>
              <c:f>'медиана 2022'!$R$5:$R$152</c:f>
              <c:strCache>
                <c:ptCount val="148"/>
                <c:pt idx="0">
                  <c:v>0-55000</c:v>
                </c:pt>
                <c:pt idx="1">
                  <c:v>55001-60000</c:v>
                </c:pt>
                <c:pt idx="2">
                  <c:v>60001-65000</c:v>
                </c:pt>
                <c:pt idx="3">
                  <c:v>65001-70000</c:v>
                </c:pt>
                <c:pt idx="4">
                  <c:v>70001-75000</c:v>
                </c:pt>
                <c:pt idx="5">
                  <c:v>75001-80000</c:v>
                </c:pt>
                <c:pt idx="6">
                  <c:v>80001-85000</c:v>
                </c:pt>
                <c:pt idx="7">
                  <c:v>85001-90000</c:v>
                </c:pt>
                <c:pt idx="8">
                  <c:v>90001-95000</c:v>
                </c:pt>
                <c:pt idx="9">
                  <c:v>95001-100000</c:v>
                </c:pt>
                <c:pt idx="10">
                  <c:v>100001-105000</c:v>
                </c:pt>
                <c:pt idx="11">
                  <c:v>105001-110000</c:v>
                </c:pt>
                <c:pt idx="12">
                  <c:v>110001-115000</c:v>
                </c:pt>
                <c:pt idx="13">
                  <c:v>115001-120000</c:v>
                </c:pt>
                <c:pt idx="14">
                  <c:v>120001-125000</c:v>
                </c:pt>
                <c:pt idx="15">
                  <c:v>125001-130000</c:v>
                </c:pt>
                <c:pt idx="16">
                  <c:v>130001-135000</c:v>
                </c:pt>
                <c:pt idx="17">
                  <c:v>135001-140000</c:v>
                </c:pt>
                <c:pt idx="18">
                  <c:v>140001-145000</c:v>
                </c:pt>
                <c:pt idx="19">
                  <c:v>145001-150000</c:v>
                </c:pt>
                <c:pt idx="20">
                  <c:v>150001-155000</c:v>
                </c:pt>
                <c:pt idx="21">
                  <c:v>155001-160000</c:v>
                </c:pt>
                <c:pt idx="22">
                  <c:v>160001-165000</c:v>
                </c:pt>
                <c:pt idx="23">
                  <c:v>165001-170000</c:v>
                </c:pt>
                <c:pt idx="24">
                  <c:v>170001-175000</c:v>
                </c:pt>
                <c:pt idx="25">
                  <c:v>175001-180000</c:v>
                </c:pt>
                <c:pt idx="26">
                  <c:v>180001-185000</c:v>
                </c:pt>
                <c:pt idx="27">
                  <c:v>185001-190000</c:v>
                </c:pt>
                <c:pt idx="28">
                  <c:v>190001-195000</c:v>
                </c:pt>
                <c:pt idx="29">
                  <c:v>195001-200000</c:v>
                </c:pt>
                <c:pt idx="30">
                  <c:v>200001-205000</c:v>
                </c:pt>
                <c:pt idx="31">
                  <c:v>205001-210000</c:v>
                </c:pt>
                <c:pt idx="32">
                  <c:v>210001-215000</c:v>
                </c:pt>
                <c:pt idx="33">
                  <c:v>215001-220000</c:v>
                </c:pt>
                <c:pt idx="34">
                  <c:v>220001-225000</c:v>
                </c:pt>
                <c:pt idx="35">
                  <c:v>225001-230000</c:v>
                </c:pt>
                <c:pt idx="36">
                  <c:v>230001-235000</c:v>
                </c:pt>
                <c:pt idx="37">
                  <c:v>235001-240000</c:v>
                </c:pt>
                <c:pt idx="38">
                  <c:v>240001-245000</c:v>
                </c:pt>
                <c:pt idx="39">
                  <c:v>245001-250000</c:v>
                </c:pt>
                <c:pt idx="40">
                  <c:v>250001-255000</c:v>
                </c:pt>
                <c:pt idx="41">
                  <c:v>255001-260000</c:v>
                </c:pt>
                <c:pt idx="42">
                  <c:v>260001-265000</c:v>
                </c:pt>
                <c:pt idx="43">
                  <c:v>265001-270000</c:v>
                </c:pt>
                <c:pt idx="44">
                  <c:v>270001-275000</c:v>
                </c:pt>
                <c:pt idx="45">
                  <c:v>275001-280000</c:v>
                </c:pt>
                <c:pt idx="46">
                  <c:v>280001-285000</c:v>
                </c:pt>
                <c:pt idx="47">
                  <c:v>285001-290000</c:v>
                </c:pt>
                <c:pt idx="48">
                  <c:v>290001-295000</c:v>
                </c:pt>
                <c:pt idx="49">
                  <c:v>295001-300000</c:v>
                </c:pt>
                <c:pt idx="50">
                  <c:v>300001-305000</c:v>
                </c:pt>
                <c:pt idx="51">
                  <c:v>305001-310000</c:v>
                </c:pt>
                <c:pt idx="52">
                  <c:v>310001-315000</c:v>
                </c:pt>
                <c:pt idx="53">
                  <c:v>315001-320000</c:v>
                </c:pt>
                <c:pt idx="54">
                  <c:v>320001-325000</c:v>
                </c:pt>
                <c:pt idx="55">
                  <c:v>325001-330000</c:v>
                </c:pt>
                <c:pt idx="56">
                  <c:v>330001-335000</c:v>
                </c:pt>
                <c:pt idx="57">
                  <c:v>335001-340000</c:v>
                </c:pt>
                <c:pt idx="58">
                  <c:v>340001-345000</c:v>
                </c:pt>
                <c:pt idx="59">
                  <c:v>345001-350000</c:v>
                </c:pt>
                <c:pt idx="60">
                  <c:v>350001-355000</c:v>
                </c:pt>
                <c:pt idx="61">
                  <c:v>355001-360000</c:v>
                </c:pt>
                <c:pt idx="62">
                  <c:v>360001-365000</c:v>
                </c:pt>
                <c:pt idx="63">
                  <c:v>365001-370000</c:v>
                </c:pt>
                <c:pt idx="64">
                  <c:v>370001-375000</c:v>
                </c:pt>
                <c:pt idx="65">
                  <c:v>375001-380000</c:v>
                </c:pt>
                <c:pt idx="66">
                  <c:v>380001-385000</c:v>
                </c:pt>
                <c:pt idx="67">
                  <c:v>385001-390000</c:v>
                </c:pt>
                <c:pt idx="68">
                  <c:v>390001-395000</c:v>
                </c:pt>
                <c:pt idx="69">
                  <c:v>395001-400000</c:v>
                </c:pt>
                <c:pt idx="70">
                  <c:v>400001-405000</c:v>
                </c:pt>
                <c:pt idx="71">
                  <c:v>405001-410000</c:v>
                </c:pt>
                <c:pt idx="72">
                  <c:v>410001-415000</c:v>
                </c:pt>
                <c:pt idx="73">
                  <c:v>415001-420000</c:v>
                </c:pt>
                <c:pt idx="74">
                  <c:v>420001-425000</c:v>
                </c:pt>
                <c:pt idx="75">
                  <c:v>425001-430000</c:v>
                </c:pt>
                <c:pt idx="76">
                  <c:v>430001-435000</c:v>
                </c:pt>
                <c:pt idx="77">
                  <c:v>435001-440000</c:v>
                </c:pt>
                <c:pt idx="78">
                  <c:v>440001-445000</c:v>
                </c:pt>
                <c:pt idx="79">
                  <c:v>445001-450000</c:v>
                </c:pt>
                <c:pt idx="80">
                  <c:v>450001-455000</c:v>
                </c:pt>
                <c:pt idx="81">
                  <c:v>455001-460000</c:v>
                </c:pt>
                <c:pt idx="82">
                  <c:v>460001-465000</c:v>
                </c:pt>
                <c:pt idx="83">
                  <c:v>465001-470000</c:v>
                </c:pt>
                <c:pt idx="84">
                  <c:v>470001-475000</c:v>
                </c:pt>
                <c:pt idx="85">
                  <c:v>475001-480000</c:v>
                </c:pt>
                <c:pt idx="86">
                  <c:v>480001-485000</c:v>
                </c:pt>
                <c:pt idx="87">
                  <c:v>485001-490000</c:v>
                </c:pt>
                <c:pt idx="88">
                  <c:v>490001-495000</c:v>
                </c:pt>
                <c:pt idx="89">
                  <c:v>495001-500000</c:v>
                </c:pt>
                <c:pt idx="90">
                  <c:v>500001-505000</c:v>
                </c:pt>
                <c:pt idx="91">
                  <c:v>505001-510000</c:v>
                </c:pt>
                <c:pt idx="92">
                  <c:v>510001-515000</c:v>
                </c:pt>
                <c:pt idx="93">
                  <c:v>515001-520000</c:v>
                </c:pt>
                <c:pt idx="94">
                  <c:v>520001-525000</c:v>
                </c:pt>
                <c:pt idx="95">
                  <c:v>525001-530000</c:v>
                </c:pt>
                <c:pt idx="96">
                  <c:v>530001-535000</c:v>
                </c:pt>
                <c:pt idx="97">
                  <c:v>535001-540000</c:v>
                </c:pt>
                <c:pt idx="98">
                  <c:v>540001-545000</c:v>
                </c:pt>
                <c:pt idx="99">
                  <c:v>545001-550000</c:v>
                </c:pt>
                <c:pt idx="100">
                  <c:v>550001-555000</c:v>
                </c:pt>
                <c:pt idx="101">
                  <c:v>555001-560000</c:v>
                </c:pt>
                <c:pt idx="102">
                  <c:v>560001-565000</c:v>
                </c:pt>
                <c:pt idx="103">
                  <c:v>565001-570000</c:v>
                </c:pt>
                <c:pt idx="104">
                  <c:v>570001-575000</c:v>
                </c:pt>
                <c:pt idx="105">
                  <c:v>575001-580000</c:v>
                </c:pt>
                <c:pt idx="106">
                  <c:v>580001-585000</c:v>
                </c:pt>
                <c:pt idx="107">
                  <c:v>585001-590000</c:v>
                </c:pt>
                <c:pt idx="108">
                  <c:v>590001-595000</c:v>
                </c:pt>
                <c:pt idx="109">
                  <c:v>595001-600000</c:v>
                </c:pt>
                <c:pt idx="110">
                  <c:v>600001-605000</c:v>
                </c:pt>
                <c:pt idx="111">
                  <c:v>605001-610000</c:v>
                </c:pt>
                <c:pt idx="112">
                  <c:v>610001-615000</c:v>
                </c:pt>
                <c:pt idx="113">
                  <c:v>615001-620000</c:v>
                </c:pt>
                <c:pt idx="114">
                  <c:v>620001-625000</c:v>
                </c:pt>
                <c:pt idx="115">
                  <c:v>625001-630000</c:v>
                </c:pt>
                <c:pt idx="116">
                  <c:v>630001-635000</c:v>
                </c:pt>
                <c:pt idx="117">
                  <c:v>635001-640000</c:v>
                </c:pt>
                <c:pt idx="118">
                  <c:v>640001-645000</c:v>
                </c:pt>
                <c:pt idx="119">
                  <c:v>645001-650000</c:v>
                </c:pt>
                <c:pt idx="120">
                  <c:v>650001-655000</c:v>
                </c:pt>
                <c:pt idx="121">
                  <c:v>655001-660000</c:v>
                </c:pt>
                <c:pt idx="122">
                  <c:v>660001-665000</c:v>
                </c:pt>
                <c:pt idx="123">
                  <c:v>665001-670000</c:v>
                </c:pt>
                <c:pt idx="124">
                  <c:v>670001-675000</c:v>
                </c:pt>
                <c:pt idx="125">
                  <c:v>675001-680000</c:v>
                </c:pt>
                <c:pt idx="126">
                  <c:v>680001-685000</c:v>
                </c:pt>
                <c:pt idx="127">
                  <c:v>685001-690000</c:v>
                </c:pt>
                <c:pt idx="128">
                  <c:v>690001-695000</c:v>
                </c:pt>
                <c:pt idx="129">
                  <c:v>695001-700000</c:v>
                </c:pt>
                <c:pt idx="130">
                  <c:v>700001-705000</c:v>
                </c:pt>
                <c:pt idx="131">
                  <c:v>720001-720000</c:v>
                </c:pt>
                <c:pt idx="132">
                  <c:v>740001-760000</c:v>
                </c:pt>
                <c:pt idx="133">
                  <c:v>760001-780000</c:v>
                </c:pt>
                <c:pt idx="134">
                  <c:v>780001-800000</c:v>
                </c:pt>
                <c:pt idx="135">
                  <c:v>800001-830000</c:v>
                </c:pt>
                <c:pt idx="136">
                  <c:v>830001-860000</c:v>
                </c:pt>
                <c:pt idx="137">
                  <c:v>860001-890000</c:v>
                </c:pt>
                <c:pt idx="138">
                  <c:v>890001-930000</c:v>
                </c:pt>
                <c:pt idx="139">
                  <c:v>930001-970000</c:v>
                </c:pt>
                <c:pt idx="140">
                  <c:v>970001-1000000</c:v>
                </c:pt>
                <c:pt idx="141">
                  <c:v>1000001-1020000</c:v>
                </c:pt>
                <c:pt idx="142">
                  <c:v>1020001-1040000</c:v>
                </c:pt>
                <c:pt idx="143">
                  <c:v>1040001-1060000</c:v>
                </c:pt>
                <c:pt idx="144">
                  <c:v>1060001-1080000</c:v>
                </c:pt>
                <c:pt idx="145">
                  <c:v>1080001-1100000</c:v>
                </c:pt>
                <c:pt idx="146">
                  <c:v>1100001-1120000</c:v>
                </c:pt>
                <c:pt idx="147">
                  <c:v>1120001 и выше</c:v>
                </c:pt>
              </c:strCache>
            </c:strRef>
          </c:cat>
          <c:val>
            <c:numRef>
              <c:f>'медиана 2022'!$S$5:$S$152</c:f>
              <c:numCache>
                <c:formatCode>#,##0.0</c:formatCode>
                <c:ptCount val="148"/>
                <c:pt idx="0">
                  <c:v>0.13870348613974312</c:v>
                </c:pt>
                <c:pt idx="1">
                  <c:v>1.2769836187825474</c:v>
                </c:pt>
                <c:pt idx="2">
                  <c:v>1.6338360180821094</c:v>
                </c:pt>
                <c:pt idx="3">
                  <c:v>2.6527181118718577</c:v>
                </c:pt>
                <c:pt idx="4">
                  <c:v>2.2420768856773812</c:v>
                </c:pt>
                <c:pt idx="5">
                  <c:v>2.3270297413455276</c:v>
                </c:pt>
                <c:pt idx="6">
                  <c:v>1.7590044654630479</c:v>
                </c:pt>
                <c:pt idx="7">
                  <c:v>1.8220354875529228</c:v>
                </c:pt>
                <c:pt idx="8">
                  <c:v>1.4425372264226197</c:v>
                </c:pt>
                <c:pt idx="9">
                  <c:v>2.0668461659042072</c:v>
                </c:pt>
                <c:pt idx="10">
                  <c:v>1.5948003463699798</c:v>
                </c:pt>
                <c:pt idx="11">
                  <c:v>1.7716872557337171</c:v>
                </c:pt>
                <c:pt idx="12">
                  <c:v>1.4544426050559758</c:v>
                </c:pt>
                <c:pt idx="13">
                  <c:v>1.8832885516876661</c:v>
                </c:pt>
                <c:pt idx="14">
                  <c:v>1.5655506924778391</c:v>
                </c:pt>
                <c:pt idx="15">
                  <c:v>1.5858193110930874</c:v>
                </c:pt>
                <c:pt idx="16">
                  <c:v>1.4445617278380756</c:v>
                </c:pt>
                <c:pt idx="17">
                  <c:v>1.5282820405613982</c:v>
                </c:pt>
                <c:pt idx="18">
                  <c:v>1.3761950195694752</c:v>
                </c:pt>
                <c:pt idx="19">
                  <c:v>2.1365790462175882</c:v>
                </c:pt>
                <c:pt idx="20">
                  <c:v>1.3346578160552847</c:v>
                </c:pt>
                <c:pt idx="21">
                  <c:v>1.5891184364754189</c:v>
                </c:pt>
                <c:pt idx="22">
                  <c:v>1.4366876466246938</c:v>
                </c:pt>
                <c:pt idx="23">
                  <c:v>1.5895317569595218</c:v>
                </c:pt>
                <c:pt idx="24">
                  <c:v>1.3915790896399358</c:v>
                </c:pt>
                <c:pt idx="25">
                  <c:v>1.6820608547683795</c:v>
                </c:pt>
                <c:pt idx="26">
                  <c:v>1.5517985193175456</c:v>
                </c:pt>
                <c:pt idx="27">
                  <c:v>1.5230316616167041</c:v>
                </c:pt>
                <c:pt idx="28">
                  <c:v>1.2211069920149511</c:v>
                </c:pt>
                <c:pt idx="29">
                  <c:v>1.9466592166649377</c:v>
                </c:pt>
                <c:pt idx="30">
                  <c:v>1.2421438873121518</c:v>
                </c:pt>
                <c:pt idx="31">
                  <c:v>1.3238253960867779</c:v>
                </c:pt>
                <c:pt idx="32">
                  <c:v>1.2723807694420823</c:v>
                </c:pt>
                <c:pt idx="33">
                  <c:v>1.3143598266400627</c:v>
                </c:pt>
                <c:pt idx="34">
                  <c:v>1.2837400794459968</c:v>
                </c:pt>
                <c:pt idx="35">
                  <c:v>1.2738192741020622</c:v>
                </c:pt>
                <c:pt idx="36">
                  <c:v>1.1045645849578944</c:v>
                </c:pt>
                <c:pt idx="37">
                  <c:v>1.1442557418319188</c:v>
                </c:pt>
                <c:pt idx="38">
                  <c:v>1.1352309082494638</c:v>
                </c:pt>
                <c:pt idx="39">
                  <c:v>1.6382397296159061</c:v>
                </c:pt>
                <c:pt idx="40">
                  <c:v>0.9796838197500537</c:v>
                </c:pt>
                <c:pt idx="41">
                  <c:v>1.07599996965056</c:v>
                </c:pt>
                <c:pt idx="42">
                  <c:v>0.97073611630095169</c:v>
                </c:pt>
                <c:pt idx="43">
                  <c:v>0.97892499236087105</c:v>
                </c:pt>
                <c:pt idx="44">
                  <c:v>0.90519832327895622</c:v>
                </c:pt>
                <c:pt idx="45">
                  <c:v>0.97461777101194136</c:v>
                </c:pt>
                <c:pt idx="46">
                  <c:v>0.82742749809956762</c:v>
                </c:pt>
                <c:pt idx="47">
                  <c:v>0.89936795349765242</c:v>
                </c:pt>
                <c:pt idx="48">
                  <c:v>0.7368523745278347</c:v>
                </c:pt>
                <c:pt idx="49">
                  <c:v>1.2386069104682864</c:v>
                </c:pt>
                <c:pt idx="50">
                  <c:v>0.73629842871281481</c:v>
                </c:pt>
                <c:pt idx="51">
                  <c:v>0.80343670518386856</c:v>
                </c:pt>
                <c:pt idx="52">
                  <c:v>0.80493686867698755</c:v>
                </c:pt>
                <c:pt idx="53">
                  <c:v>0.76500138396174022</c:v>
                </c:pt>
                <c:pt idx="54">
                  <c:v>0.76345587172415463</c:v>
                </c:pt>
                <c:pt idx="55">
                  <c:v>0.65328269725136945</c:v>
                </c:pt>
                <c:pt idx="56">
                  <c:v>0.59859879732427568</c:v>
                </c:pt>
                <c:pt idx="57">
                  <c:v>0.6348115153254078</c:v>
                </c:pt>
                <c:pt idx="58">
                  <c:v>0.60170806843729263</c:v>
                </c:pt>
                <c:pt idx="59">
                  <c:v>0.81702331320479016</c:v>
                </c:pt>
                <c:pt idx="60">
                  <c:v>0.59967791345156785</c:v>
                </c:pt>
                <c:pt idx="61">
                  <c:v>0.62127225725912361</c:v>
                </c:pt>
                <c:pt idx="62">
                  <c:v>0.53522522932975414</c:v>
                </c:pt>
                <c:pt idx="63">
                  <c:v>0.58103376209361457</c:v>
                </c:pt>
                <c:pt idx="64">
                  <c:v>0.59001738970487416</c:v>
                </c:pt>
                <c:pt idx="65">
                  <c:v>0.62600416189615848</c:v>
                </c:pt>
                <c:pt idx="66">
                  <c:v>0.49615387832984637</c:v>
                </c:pt>
                <c:pt idx="67">
                  <c:v>0.50076423688810723</c:v>
                </c:pt>
                <c:pt idx="68">
                  <c:v>0.45036101218970948</c:v>
                </c:pt>
                <c:pt idx="69">
                  <c:v>0.61246140849854813</c:v>
                </c:pt>
                <c:pt idx="70">
                  <c:v>0.40739362629192366</c:v>
                </c:pt>
                <c:pt idx="71">
                  <c:v>0.43601125049995182</c:v>
                </c:pt>
                <c:pt idx="72">
                  <c:v>0.39281856628942108</c:v>
                </c:pt>
                <c:pt idx="73">
                  <c:v>0.41676725489346161</c:v>
                </c:pt>
                <c:pt idx="74">
                  <c:v>0.36809512855156679</c:v>
                </c:pt>
                <c:pt idx="75">
                  <c:v>0.36809512855156679</c:v>
                </c:pt>
                <c:pt idx="76">
                  <c:v>0.36809512855156679</c:v>
                </c:pt>
                <c:pt idx="77">
                  <c:v>0.36809512855156679</c:v>
                </c:pt>
                <c:pt idx="78">
                  <c:v>0.36809512855156679</c:v>
                </c:pt>
                <c:pt idx="79">
                  <c:v>0.36822953115441903</c:v>
                </c:pt>
                <c:pt idx="80">
                  <c:v>0.29269526835350995</c:v>
                </c:pt>
                <c:pt idx="81">
                  <c:v>0.29269526835350995</c:v>
                </c:pt>
                <c:pt idx="82">
                  <c:v>0.29269526835350995</c:v>
                </c:pt>
                <c:pt idx="83">
                  <c:v>0.29269526835350995</c:v>
                </c:pt>
                <c:pt idx="84">
                  <c:v>0.29269526835350995</c:v>
                </c:pt>
                <c:pt idx="85">
                  <c:v>0.29279607030564975</c:v>
                </c:pt>
                <c:pt idx="86">
                  <c:v>0.26164826709548838</c:v>
                </c:pt>
                <c:pt idx="87">
                  <c:v>0.26164826709548838</c:v>
                </c:pt>
                <c:pt idx="88">
                  <c:v>0.26164826709548838</c:v>
                </c:pt>
                <c:pt idx="89">
                  <c:v>0.26164826709548838</c:v>
                </c:pt>
                <c:pt idx="90">
                  <c:v>0.26164826709548838</c:v>
                </c:pt>
                <c:pt idx="91">
                  <c:v>0.26164826709548838</c:v>
                </c:pt>
                <c:pt idx="92">
                  <c:v>0.18732362772021788</c:v>
                </c:pt>
                <c:pt idx="93">
                  <c:v>0.18732362772021788</c:v>
                </c:pt>
                <c:pt idx="94">
                  <c:v>0.18732362772021788</c:v>
                </c:pt>
                <c:pt idx="95">
                  <c:v>0.18732362772021788</c:v>
                </c:pt>
                <c:pt idx="96">
                  <c:v>0.18732362772021788</c:v>
                </c:pt>
                <c:pt idx="97">
                  <c:v>0.18749163097377874</c:v>
                </c:pt>
                <c:pt idx="98">
                  <c:v>0.16212313968610809</c:v>
                </c:pt>
                <c:pt idx="99">
                  <c:v>0.16212313968610809</c:v>
                </c:pt>
                <c:pt idx="100">
                  <c:v>0.16212313968610809</c:v>
                </c:pt>
                <c:pt idx="101">
                  <c:v>0.16212313968610809</c:v>
                </c:pt>
                <c:pt idx="102">
                  <c:v>0.16212313968610809</c:v>
                </c:pt>
                <c:pt idx="103">
                  <c:v>0.1622911429396689</c:v>
                </c:pt>
                <c:pt idx="104">
                  <c:v>0.13047132671526571</c:v>
                </c:pt>
                <c:pt idx="105">
                  <c:v>0.13047132671526571</c:v>
                </c:pt>
                <c:pt idx="106">
                  <c:v>0.13047132671526571</c:v>
                </c:pt>
                <c:pt idx="107">
                  <c:v>0.13047132671526571</c:v>
                </c:pt>
                <c:pt idx="108">
                  <c:v>0.13047132671526571</c:v>
                </c:pt>
                <c:pt idx="109">
                  <c:v>0.13060572931811257</c:v>
                </c:pt>
                <c:pt idx="110">
                  <c:v>0.10879890700593174</c:v>
                </c:pt>
                <c:pt idx="111">
                  <c:v>0.10879890700593174</c:v>
                </c:pt>
                <c:pt idx="112">
                  <c:v>0.10879890700593174</c:v>
                </c:pt>
                <c:pt idx="113">
                  <c:v>0.10879890700593174</c:v>
                </c:pt>
                <c:pt idx="114">
                  <c:v>0.10879890700593174</c:v>
                </c:pt>
                <c:pt idx="115">
                  <c:v>0.10889970895806762</c:v>
                </c:pt>
                <c:pt idx="116">
                  <c:v>8.904172438718877E-2</c:v>
                </c:pt>
                <c:pt idx="117">
                  <c:v>8.904172438718877E-2</c:v>
                </c:pt>
                <c:pt idx="118">
                  <c:v>8.904172438718877E-2</c:v>
                </c:pt>
                <c:pt idx="119">
                  <c:v>8.904172438718877E-2</c:v>
                </c:pt>
                <c:pt idx="120">
                  <c:v>8.904172438718877E-2</c:v>
                </c:pt>
                <c:pt idx="121">
                  <c:v>8.9142526339325193E-2</c:v>
                </c:pt>
                <c:pt idx="122">
                  <c:v>7.3955032217434893E-2</c:v>
                </c:pt>
                <c:pt idx="123">
                  <c:v>7.3955032217434893E-2</c:v>
                </c:pt>
                <c:pt idx="124">
                  <c:v>7.3955032217434893E-2</c:v>
                </c:pt>
                <c:pt idx="125">
                  <c:v>7.3955032217434893E-2</c:v>
                </c:pt>
                <c:pt idx="126">
                  <c:v>0.11047893954153841</c:v>
                </c:pt>
                <c:pt idx="127">
                  <c:v>0.10752208227887063</c:v>
                </c:pt>
                <c:pt idx="128">
                  <c:v>0.10113795864356158</c:v>
                </c:pt>
                <c:pt idx="129">
                  <c:v>0.10365800744697259</c:v>
                </c:pt>
                <c:pt idx="130">
                  <c:v>0.21047447606088696</c:v>
                </c:pt>
                <c:pt idx="131">
                  <c:v>0.19283413443701136</c:v>
                </c:pt>
                <c:pt idx="132">
                  <c:v>0.21944584980103299</c:v>
                </c:pt>
                <c:pt idx="133">
                  <c:v>0.18157791644844079</c:v>
                </c:pt>
                <c:pt idx="134">
                  <c:v>0.18466917631395827</c:v>
                </c:pt>
                <c:pt idx="135">
                  <c:v>0.25472653304878418</c:v>
                </c:pt>
                <c:pt idx="136">
                  <c:v>0.22519156107280722</c:v>
                </c:pt>
                <c:pt idx="137">
                  <c:v>0.21847143093037968</c:v>
                </c:pt>
                <c:pt idx="138">
                  <c:v>0.22835002223974762</c:v>
                </c:pt>
                <c:pt idx="139">
                  <c:v>0.20630799537258079</c:v>
                </c:pt>
                <c:pt idx="140">
                  <c:v>0.21168409948652542</c:v>
                </c:pt>
                <c:pt idx="141">
                  <c:v>0.22848442484259929</c:v>
                </c:pt>
                <c:pt idx="142">
                  <c:v>0.23117247689956935</c:v>
                </c:pt>
                <c:pt idx="143">
                  <c:v>0.22848442484259929</c:v>
                </c:pt>
                <c:pt idx="144">
                  <c:v>0.23083647039244923</c:v>
                </c:pt>
                <c:pt idx="145">
                  <c:v>0.22848442484259929</c:v>
                </c:pt>
                <c:pt idx="146">
                  <c:v>0.22848442484259929</c:v>
                </c:pt>
                <c:pt idx="147">
                  <c:v>0.23591016864998204</c:v>
                </c:pt>
              </c:numCache>
            </c:numRef>
          </c:val>
        </c:ser>
        <c:gapWidth val="0"/>
        <c:overlap val="100"/>
        <c:axId val="106381312"/>
        <c:axId val="106382848"/>
      </c:barChart>
      <c:catAx>
        <c:axId val="106381312"/>
        <c:scaling>
          <c:orientation val="minMax"/>
        </c:scaling>
        <c:axPos val="b"/>
        <c:tickLblPos val="nextTo"/>
        <c:txPr>
          <a:bodyPr/>
          <a:lstStyle/>
          <a:p>
            <a:pPr>
              <a:defRPr sz="600" baseline="0"/>
            </a:pPr>
            <a:endParaRPr lang="ru-RU"/>
          </a:p>
        </c:txPr>
        <c:crossAx val="106382848"/>
        <c:crosses val="autoZero"/>
        <c:auto val="1"/>
        <c:lblAlgn val="ctr"/>
        <c:lblOffset val="100"/>
      </c:catAx>
      <c:valAx>
        <c:axId val="106382848"/>
        <c:scaling>
          <c:orientation val="minMax"/>
          <c:max val="3"/>
        </c:scaling>
        <c:axPos val="l"/>
        <c:numFmt formatCode="#,##0.0" sourceLinked="1"/>
        <c:tickLblPos val="nextTo"/>
        <c:txPr>
          <a:bodyPr/>
          <a:lstStyle/>
          <a:p>
            <a:pPr>
              <a:defRPr sz="700" baseline="0"/>
            </a:pPr>
            <a:endParaRPr lang="ru-RU"/>
          </a:p>
        </c:txPr>
        <c:crossAx val="106381312"/>
        <c:crosses val="autoZero"/>
        <c:crossBetween val="between"/>
      </c:valAx>
      <c:spPr>
        <a:ln w="3175"/>
      </c:spPr>
    </c:plotArea>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33A1-421E-4A32-9DC1-B3DB9F32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d.kobegenova</cp:lastModifiedBy>
  <cp:revision>16</cp:revision>
  <cp:lastPrinted>2022-06-02T05:46:00Z</cp:lastPrinted>
  <dcterms:created xsi:type="dcterms:W3CDTF">2023-05-10T06:31:00Z</dcterms:created>
  <dcterms:modified xsi:type="dcterms:W3CDTF">2023-05-11T04:41:00Z</dcterms:modified>
</cp:coreProperties>
</file>