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F96EF9" w:rsidTr="00F96EF9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F96EF9" w:rsidRDefault="00F96EF9" w:rsidP="00F96EF9">
            <w:pPr>
              <w:rPr>
                <w:noProof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noProof/>
                <w:color w:val="0C0000"/>
                <w:szCs w:val="28"/>
                <w:lang w:val="kk-KZ"/>
              </w:rPr>
              <w:t>№ исх: 11-11/1899 дз   от: 20.05.2023</w:t>
            </w:r>
          </w:p>
          <w:p w:rsidR="00F96EF9" w:rsidRPr="00F96EF9" w:rsidRDefault="00F96EF9" w:rsidP="00F96EF9">
            <w:pPr>
              <w:rPr>
                <w:noProof/>
                <w:color w:val="0C0000"/>
                <w:szCs w:val="28"/>
                <w:lang w:val="kk-KZ"/>
              </w:rPr>
            </w:pPr>
            <w:r>
              <w:rPr>
                <w:noProof/>
                <w:color w:val="0C0000"/>
                <w:szCs w:val="28"/>
                <w:lang w:val="kk-KZ"/>
              </w:rPr>
              <w:t>№ вх.1677//11-11/1899дз/ДС-108  от: 22.05.2023</w:t>
            </w:r>
          </w:p>
        </w:tc>
      </w:tr>
    </w:tbl>
    <w:p w:rsidR="00F53C08" w:rsidRPr="004B60C2" w:rsidRDefault="00F53C08" w:rsidP="00F96EF9">
      <w:pPr>
        <w:ind w:left="5812"/>
        <w:rPr>
          <w:b/>
          <w:noProof/>
          <w:sz w:val="28"/>
          <w:szCs w:val="28"/>
          <w:lang w:val="kk-KZ"/>
        </w:rPr>
      </w:pPr>
    </w:p>
    <w:p w:rsidR="008F7855" w:rsidRPr="004B60C2" w:rsidRDefault="008F7855" w:rsidP="00D95AA4">
      <w:pPr>
        <w:ind w:left="5812"/>
        <w:jc w:val="center"/>
        <w:rPr>
          <w:b/>
          <w:noProof/>
          <w:sz w:val="28"/>
          <w:szCs w:val="28"/>
          <w:lang w:val="kk-KZ"/>
        </w:rPr>
      </w:pPr>
    </w:p>
    <w:p w:rsidR="008F7855" w:rsidRPr="004B60C2" w:rsidRDefault="00027067" w:rsidP="00D95AA4">
      <w:pPr>
        <w:ind w:left="5812"/>
        <w:jc w:val="center"/>
        <w:rPr>
          <w:b/>
          <w:noProof/>
          <w:sz w:val="28"/>
          <w:szCs w:val="28"/>
          <w:lang w:val="kk-KZ"/>
        </w:rPr>
      </w:pPr>
      <w:r w:rsidRPr="004B60C2">
        <w:rPr>
          <w:b/>
          <w:noProof/>
          <w:sz w:val="28"/>
          <w:szCs w:val="28"/>
          <w:lang w:val="kk-KZ"/>
        </w:rPr>
        <w:t>Қазақстан Республикасы П</w:t>
      </w:r>
      <w:r w:rsidR="008F7855" w:rsidRPr="004B60C2">
        <w:rPr>
          <w:b/>
          <w:noProof/>
          <w:sz w:val="28"/>
          <w:szCs w:val="28"/>
          <w:lang w:val="kk-KZ"/>
        </w:rPr>
        <w:t>а</w:t>
      </w:r>
      <w:r w:rsidRPr="004B60C2">
        <w:rPr>
          <w:b/>
          <w:noProof/>
          <w:sz w:val="28"/>
          <w:szCs w:val="28"/>
          <w:lang w:val="kk-KZ"/>
        </w:rPr>
        <w:t>р</w:t>
      </w:r>
      <w:r w:rsidR="008F7855" w:rsidRPr="004B60C2">
        <w:rPr>
          <w:b/>
          <w:noProof/>
          <w:sz w:val="28"/>
          <w:szCs w:val="28"/>
          <w:lang w:val="kk-KZ"/>
        </w:rPr>
        <w:t xml:space="preserve">ламенті Мәжілісінің </w:t>
      </w:r>
    </w:p>
    <w:p w:rsidR="008F7855" w:rsidRPr="004B60C2" w:rsidRDefault="00027067" w:rsidP="00D95AA4">
      <w:pPr>
        <w:ind w:left="5812"/>
        <w:jc w:val="center"/>
        <w:rPr>
          <w:b/>
          <w:noProof/>
          <w:sz w:val="28"/>
          <w:szCs w:val="28"/>
          <w:lang w:val="kk-KZ"/>
        </w:rPr>
      </w:pPr>
      <w:r w:rsidRPr="004B60C2">
        <w:rPr>
          <w:b/>
          <w:noProof/>
          <w:sz w:val="28"/>
          <w:szCs w:val="28"/>
          <w:lang w:val="kk-KZ"/>
        </w:rPr>
        <w:t>д</w:t>
      </w:r>
      <w:r w:rsidR="008F7855" w:rsidRPr="004B60C2">
        <w:rPr>
          <w:b/>
          <w:noProof/>
          <w:sz w:val="28"/>
          <w:szCs w:val="28"/>
          <w:lang w:val="kk-KZ"/>
        </w:rPr>
        <w:t>епутаттарын</w:t>
      </w:r>
      <w:r w:rsidRPr="004B60C2">
        <w:rPr>
          <w:b/>
          <w:noProof/>
          <w:sz w:val="28"/>
          <w:szCs w:val="28"/>
          <w:lang w:val="kk-KZ"/>
        </w:rPr>
        <w:t>а</w:t>
      </w:r>
    </w:p>
    <w:p w:rsidR="00D95AA4" w:rsidRPr="004B60C2" w:rsidRDefault="008F7855" w:rsidP="00D95AA4">
      <w:pPr>
        <w:ind w:left="5812"/>
        <w:jc w:val="center"/>
        <w:rPr>
          <w:noProof/>
          <w:sz w:val="28"/>
          <w:szCs w:val="28"/>
          <w:lang w:val="kk-KZ"/>
        </w:rPr>
      </w:pPr>
      <w:r w:rsidRPr="004B60C2">
        <w:rPr>
          <w:noProof/>
          <w:sz w:val="28"/>
          <w:szCs w:val="28"/>
          <w:lang w:val="kk-KZ"/>
        </w:rPr>
        <w:t>(тізім бойынша</w:t>
      </w:r>
      <w:r w:rsidR="00D95AA4" w:rsidRPr="004B60C2">
        <w:rPr>
          <w:noProof/>
          <w:sz w:val="28"/>
          <w:szCs w:val="28"/>
          <w:lang w:val="kk-KZ"/>
        </w:rPr>
        <w:t>)</w:t>
      </w:r>
    </w:p>
    <w:p w:rsidR="00D95AA4" w:rsidRPr="004B60C2" w:rsidRDefault="00D95AA4" w:rsidP="00D95AA4">
      <w:pPr>
        <w:jc w:val="right"/>
        <w:rPr>
          <w:b/>
          <w:noProof/>
          <w:sz w:val="28"/>
          <w:szCs w:val="28"/>
          <w:lang w:val="kk-KZ"/>
        </w:rPr>
      </w:pPr>
    </w:p>
    <w:p w:rsidR="008F7855" w:rsidRPr="004B60C2" w:rsidRDefault="008F7855" w:rsidP="00D95AA4">
      <w:pPr>
        <w:tabs>
          <w:tab w:val="left" w:pos="255"/>
        </w:tabs>
        <w:rPr>
          <w:i/>
          <w:noProof/>
          <w:lang w:val="kk-KZ"/>
        </w:rPr>
      </w:pPr>
      <w:r w:rsidRPr="004B60C2">
        <w:rPr>
          <w:i/>
          <w:noProof/>
          <w:lang w:val="kk-KZ"/>
        </w:rPr>
        <w:t>2023 жылғы 27 сәуірдегі</w:t>
      </w:r>
    </w:p>
    <w:p w:rsidR="00D95AA4" w:rsidRPr="004B60C2" w:rsidRDefault="00D95AA4" w:rsidP="00D95AA4">
      <w:pPr>
        <w:tabs>
          <w:tab w:val="left" w:pos="255"/>
        </w:tabs>
        <w:rPr>
          <w:i/>
          <w:noProof/>
          <w:lang w:val="kk-KZ"/>
        </w:rPr>
      </w:pPr>
      <w:r w:rsidRPr="004B60C2">
        <w:rPr>
          <w:i/>
          <w:noProof/>
          <w:lang w:val="kk-KZ"/>
        </w:rPr>
        <w:t>№ ДЗ-108</w:t>
      </w:r>
    </w:p>
    <w:p w:rsidR="00D95AA4" w:rsidRPr="004B60C2" w:rsidRDefault="00D95AA4" w:rsidP="00D95AA4">
      <w:pPr>
        <w:jc w:val="right"/>
        <w:rPr>
          <w:b/>
          <w:noProof/>
          <w:sz w:val="28"/>
          <w:szCs w:val="28"/>
          <w:lang w:val="kk-KZ"/>
        </w:rPr>
      </w:pPr>
    </w:p>
    <w:p w:rsidR="008F7855" w:rsidRPr="004B60C2" w:rsidRDefault="008F7855" w:rsidP="00D95AA4">
      <w:pPr>
        <w:jc w:val="right"/>
        <w:rPr>
          <w:b/>
          <w:noProof/>
          <w:sz w:val="28"/>
          <w:szCs w:val="28"/>
          <w:lang w:val="kk-KZ"/>
        </w:rPr>
      </w:pPr>
    </w:p>
    <w:p w:rsidR="00D95AA4" w:rsidRPr="004B60C2" w:rsidRDefault="00027067" w:rsidP="00D95AA4">
      <w:pPr>
        <w:jc w:val="center"/>
        <w:rPr>
          <w:b/>
          <w:noProof/>
          <w:sz w:val="28"/>
          <w:szCs w:val="28"/>
          <w:lang w:val="kk-KZ"/>
        </w:rPr>
      </w:pPr>
      <w:r w:rsidRPr="004B60C2">
        <w:rPr>
          <w:b/>
          <w:noProof/>
          <w:sz w:val="28"/>
          <w:szCs w:val="28"/>
          <w:lang w:val="kk-KZ"/>
        </w:rPr>
        <w:t>Құрметті депутаттар</w:t>
      </w:r>
      <w:r w:rsidR="00D95AA4" w:rsidRPr="004B60C2">
        <w:rPr>
          <w:b/>
          <w:noProof/>
          <w:sz w:val="28"/>
          <w:szCs w:val="28"/>
          <w:lang w:val="kk-KZ"/>
        </w:rPr>
        <w:t>!</w:t>
      </w:r>
    </w:p>
    <w:p w:rsidR="00D95AA4" w:rsidRPr="004B60C2" w:rsidRDefault="00D95AA4" w:rsidP="00D95AA4">
      <w:pPr>
        <w:jc w:val="center"/>
        <w:rPr>
          <w:b/>
          <w:noProof/>
          <w:sz w:val="28"/>
          <w:szCs w:val="28"/>
          <w:lang w:val="kk-KZ"/>
        </w:rPr>
      </w:pPr>
    </w:p>
    <w:p w:rsidR="00731D3D" w:rsidRPr="004B60C2" w:rsidRDefault="00394176" w:rsidP="00272FE6">
      <w:pPr>
        <w:tabs>
          <w:tab w:val="left" w:pos="709"/>
          <w:tab w:val="left" w:pos="5670"/>
        </w:tabs>
        <w:ind w:firstLine="709"/>
        <w:jc w:val="both"/>
        <w:rPr>
          <w:sz w:val="28"/>
          <w:lang w:val="kk-KZ"/>
        </w:rPr>
      </w:pPr>
      <w:r w:rsidRPr="004B60C2">
        <w:rPr>
          <w:sz w:val="28"/>
          <w:lang w:val="kk-KZ"/>
        </w:rPr>
        <w:t>Агроөнеркәсіптік кешенді дамытуға қаты</w:t>
      </w:r>
      <w:r w:rsidR="00027067" w:rsidRPr="004B60C2">
        <w:rPr>
          <w:sz w:val="28"/>
          <w:lang w:val="kk-KZ"/>
        </w:rPr>
        <w:t>сты депутаттық сауалдары</w:t>
      </w:r>
      <w:r w:rsidR="008F7855" w:rsidRPr="004B60C2">
        <w:rPr>
          <w:sz w:val="28"/>
          <w:lang w:val="kk-KZ"/>
        </w:rPr>
        <w:t>ңызды қарастырып</w:t>
      </w:r>
      <w:r w:rsidRPr="004B60C2">
        <w:rPr>
          <w:sz w:val="28"/>
          <w:lang w:val="kk-KZ"/>
        </w:rPr>
        <w:t xml:space="preserve">, </w:t>
      </w:r>
      <w:r w:rsidR="008F7855" w:rsidRPr="004B60C2">
        <w:rPr>
          <w:sz w:val="28"/>
          <w:lang w:val="kk-KZ"/>
        </w:rPr>
        <w:t>келесіні</w:t>
      </w:r>
      <w:r w:rsidRPr="004B60C2">
        <w:rPr>
          <w:sz w:val="28"/>
          <w:lang w:val="kk-KZ"/>
        </w:rPr>
        <w:t xml:space="preserve"> хабарлаймын.</w:t>
      </w:r>
    </w:p>
    <w:p w:rsidR="00394176" w:rsidRPr="004B60C2" w:rsidRDefault="00394176" w:rsidP="00272FE6">
      <w:pPr>
        <w:shd w:val="clear" w:color="auto" w:fill="FFFFFF"/>
        <w:ind w:firstLine="709"/>
        <w:jc w:val="both"/>
        <w:rPr>
          <w:i/>
          <w:sz w:val="28"/>
          <w:szCs w:val="28"/>
          <w:lang w:val="kk-KZ"/>
        </w:rPr>
      </w:pPr>
      <w:r w:rsidRPr="004B60C2">
        <w:rPr>
          <w:i/>
          <w:sz w:val="28"/>
          <w:szCs w:val="28"/>
          <w:lang w:val="kk-KZ"/>
        </w:rPr>
        <w:t>Ауыл шаруашылығын қаржылай қолдау мөлшерін Ресей мен Беларусь деңгейіне жеткізуге қатысты</w:t>
      </w:r>
    </w:p>
    <w:p w:rsidR="00394176" w:rsidRPr="004B60C2" w:rsidRDefault="00394176" w:rsidP="008F7855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r w:rsidRPr="004B60C2">
        <w:rPr>
          <w:color w:val="000000"/>
          <w:sz w:val="28"/>
          <w:lang w:val="kk-KZ"/>
        </w:rPr>
        <w:t xml:space="preserve">Агроөнеркәсіптік кешенді </w:t>
      </w:r>
      <w:r w:rsidRPr="004B60C2">
        <w:rPr>
          <w:i/>
          <w:color w:val="000000"/>
          <w:lang w:val="kk-KZ"/>
        </w:rPr>
        <w:t>(бұдан әрі – АӨК)</w:t>
      </w:r>
      <w:r w:rsidRPr="004B60C2">
        <w:rPr>
          <w:color w:val="000000"/>
          <w:sz w:val="28"/>
          <w:lang w:val="kk-KZ"/>
        </w:rPr>
        <w:t xml:space="preserve"> дамыту және ауыл шаруашылығы тауарын өндірушілерді қолдау мақсатында </w:t>
      </w:r>
      <w:r w:rsidR="008F7855" w:rsidRPr="004B60C2">
        <w:rPr>
          <w:color w:val="000000"/>
          <w:sz w:val="28"/>
          <w:lang w:val="kk-KZ"/>
        </w:rPr>
        <w:t>А</w:t>
      </w:r>
      <w:r w:rsidRPr="004B60C2">
        <w:rPr>
          <w:color w:val="000000"/>
          <w:sz w:val="28"/>
          <w:lang w:val="kk-KZ"/>
        </w:rPr>
        <w:t>уыл шаруашылығы министрлігі 2018</w:t>
      </w:r>
      <w:r w:rsidR="008F7855" w:rsidRPr="004B60C2">
        <w:rPr>
          <w:color w:val="000000"/>
          <w:sz w:val="28"/>
          <w:lang w:val="kk-KZ"/>
        </w:rPr>
        <w:t xml:space="preserve"> – </w:t>
      </w:r>
      <w:r w:rsidRPr="004B60C2">
        <w:rPr>
          <w:color w:val="000000"/>
          <w:sz w:val="28"/>
          <w:lang w:val="kk-KZ"/>
        </w:rPr>
        <w:t xml:space="preserve">2022 жылдар аралығында АӨК субъектілерін субсидиялауға шамамен 1,7 трлн теңге </w:t>
      </w:r>
      <w:r w:rsidRPr="004B60C2">
        <w:rPr>
          <w:i/>
          <w:color w:val="000000"/>
          <w:lang w:val="kk-KZ"/>
        </w:rPr>
        <w:t>(2018 жылы – 226 млрд теңге; 2019 жылы – 323,2 млрд теңге; 2020 жылы – 362,6 млрд теңге; 2021 жылы – 371,5 млрд теңге; 2022 жылы – 450 млрд теңге)</w:t>
      </w:r>
      <w:r w:rsidR="00027067" w:rsidRPr="004B60C2">
        <w:rPr>
          <w:i/>
          <w:color w:val="000000"/>
          <w:lang w:val="kk-KZ"/>
        </w:rPr>
        <w:t xml:space="preserve"> </w:t>
      </w:r>
      <w:r w:rsidR="00027067" w:rsidRPr="004B60C2">
        <w:rPr>
          <w:color w:val="000000"/>
          <w:sz w:val="28"/>
          <w:szCs w:val="28"/>
          <w:lang w:val="kk-KZ"/>
        </w:rPr>
        <w:t>бөлді</w:t>
      </w:r>
      <w:r w:rsidRPr="004B60C2">
        <w:rPr>
          <w:i/>
          <w:color w:val="000000"/>
          <w:lang w:val="kk-KZ"/>
        </w:rPr>
        <w:t>.</w:t>
      </w:r>
    </w:p>
    <w:p w:rsidR="00394176" w:rsidRPr="004B60C2" w:rsidRDefault="00394176" w:rsidP="00272FE6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r w:rsidRPr="004B60C2">
        <w:rPr>
          <w:color w:val="000000"/>
          <w:sz w:val="28"/>
          <w:lang w:val="kk-KZ"/>
        </w:rPr>
        <w:t xml:space="preserve">Сонымен қатар, АӨК субъектілеріне </w:t>
      </w:r>
      <w:r w:rsidR="00027067" w:rsidRPr="004B60C2">
        <w:rPr>
          <w:color w:val="000000"/>
          <w:sz w:val="28"/>
          <w:lang w:val="kk-KZ"/>
        </w:rPr>
        <w:t>несие</w:t>
      </w:r>
      <w:r w:rsidRPr="004B60C2">
        <w:rPr>
          <w:color w:val="000000"/>
          <w:sz w:val="28"/>
          <w:lang w:val="kk-KZ"/>
        </w:rPr>
        <w:t xml:space="preserve"> беруде жаңа тәсілдерді енгізу бойынша шаралар қабылдануда.</w:t>
      </w:r>
    </w:p>
    <w:p w:rsidR="00394176" w:rsidRPr="004B60C2" w:rsidRDefault="008F7855" w:rsidP="00272FE6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r w:rsidRPr="004B60C2">
        <w:rPr>
          <w:color w:val="000000"/>
          <w:sz w:val="28"/>
          <w:lang w:val="kk-KZ"/>
        </w:rPr>
        <w:t>Мәселен, «А</w:t>
      </w:r>
      <w:r w:rsidR="00394176" w:rsidRPr="004B60C2">
        <w:rPr>
          <w:color w:val="000000"/>
          <w:sz w:val="28"/>
          <w:lang w:val="kk-KZ"/>
        </w:rPr>
        <w:t>уыл аманаты</w:t>
      </w:r>
      <w:r w:rsidRPr="004B60C2">
        <w:rPr>
          <w:color w:val="000000"/>
          <w:sz w:val="28"/>
          <w:lang w:val="kk-KZ"/>
        </w:rPr>
        <w:t>»</w:t>
      </w:r>
      <w:r w:rsidR="00394176" w:rsidRPr="004B60C2">
        <w:rPr>
          <w:color w:val="000000"/>
          <w:sz w:val="28"/>
          <w:lang w:val="kk-KZ"/>
        </w:rPr>
        <w:t xml:space="preserve"> ауыл халқының табысын арттыру жөніндегі жобаны </w:t>
      </w:r>
      <w:r w:rsidR="00027067" w:rsidRPr="004B60C2">
        <w:rPr>
          <w:color w:val="000000"/>
          <w:sz w:val="28"/>
          <w:lang w:val="kk-KZ"/>
        </w:rPr>
        <w:t>кеңінен тарату</w:t>
      </w:r>
      <w:r w:rsidR="00394176" w:rsidRPr="004B60C2">
        <w:rPr>
          <w:color w:val="000000"/>
          <w:sz w:val="28"/>
          <w:lang w:val="kk-KZ"/>
        </w:rPr>
        <w:t xml:space="preserve"> бойынша жұмыс басталды, оған сенім білдірілген өкіл </w:t>
      </w:r>
      <w:r w:rsidR="00027067" w:rsidRPr="004B60C2">
        <w:rPr>
          <w:color w:val="000000"/>
          <w:sz w:val="28"/>
          <w:lang w:val="kk-KZ"/>
        </w:rPr>
        <w:t>(</w:t>
      </w:r>
      <w:r w:rsidR="00394176" w:rsidRPr="004B60C2">
        <w:rPr>
          <w:color w:val="000000"/>
          <w:sz w:val="28"/>
          <w:lang w:val="kk-KZ"/>
        </w:rPr>
        <w:t>агент</w:t>
      </w:r>
      <w:r w:rsidR="00027067" w:rsidRPr="004B60C2">
        <w:rPr>
          <w:color w:val="000000"/>
          <w:sz w:val="28"/>
          <w:lang w:val="kk-KZ"/>
        </w:rPr>
        <w:t>)</w:t>
      </w:r>
      <w:r w:rsidR="00394176" w:rsidRPr="004B60C2">
        <w:rPr>
          <w:color w:val="000000"/>
          <w:sz w:val="28"/>
          <w:lang w:val="kk-KZ"/>
        </w:rPr>
        <w:t xml:space="preserve"> ар</w:t>
      </w:r>
      <w:r w:rsidR="00027067" w:rsidRPr="004B60C2">
        <w:rPr>
          <w:color w:val="000000"/>
          <w:sz w:val="28"/>
          <w:lang w:val="kk-KZ"/>
        </w:rPr>
        <w:t>қылы сыйақы мөлшерлемесі 2,5%-</w:t>
      </w:r>
      <w:r w:rsidR="00394176" w:rsidRPr="004B60C2">
        <w:rPr>
          <w:color w:val="000000"/>
          <w:sz w:val="28"/>
          <w:lang w:val="kk-KZ"/>
        </w:rPr>
        <w:t xml:space="preserve">дан аспайтын, ең жоғары мерзімі </w:t>
      </w:r>
      <w:r w:rsidRPr="004B60C2">
        <w:rPr>
          <w:color w:val="000000"/>
          <w:sz w:val="28"/>
          <w:lang w:val="kk-KZ"/>
        </w:rPr>
        <w:br/>
      </w:r>
      <w:r w:rsidR="00394176" w:rsidRPr="004B60C2">
        <w:rPr>
          <w:color w:val="000000"/>
          <w:sz w:val="28"/>
          <w:lang w:val="kk-KZ"/>
        </w:rPr>
        <w:t xml:space="preserve">7 жылға дейінгі </w:t>
      </w:r>
      <w:r w:rsidR="00027067" w:rsidRPr="004B60C2">
        <w:rPr>
          <w:color w:val="000000"/>
          <w:sz w:val="28"/>
          <w:lang w:val="kk-KZ"/>
        </w:rPr>
        <w:t>шағын несие</w:t>
      </w:r>
      <w:r w:rsidR="00394176" w:rsidRPr="004B60C2">
        <w:rPr>
          <w:color w:val="000000"/>
          <w:sz w:val="28"/>
          <w:lang w:val="kk-KZ"/>
        </w:rPr>
        <w:t xml:space="preserve"> беру көзделеді.</w:t>
      </w:r>
    </w:p>
    <w:p w:rsidR="001E2337" w:rsidRPr="004B60C2" w:rsidRDefault="00394176" w:rsidP="00272FE6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r w:rsidRPr="004B60C2">
        <w:rPr>
          <w:color w:val="000000"/>
          <w:sz w:val="28"/>
          <w:lang w:val="kk-KZ"/>
        </w:rPr>
        <w:t xml:space="preserve">Пилоттық жобаны </w:t>
      </w:r>
      <w:r w:rsidR="00027067" w:rsidRPr="004B60C2">
        <w:rPr>
          <w:color w:val="000000"/>
          <w:sz w:val="28"/>
          <w:lang w:val="kk-KZ"/>
        </w:rPr>
        <w:t>кеңінен тарату</w:t>
      </w:r>
      <w:r w:rsidRPr="004B60C2">
        <w:rPr>
          <w:color w:val="000000"/>
          <w:sz w:val="28"/>
          <w:lang w:val="kk-KZ"/>
        </w:rPr>
        <w:t xml:space="preserve"> үшін ағымдағы жылға 17 мыңнан астам шағын несие беру жоспарымен 100 млрд теңге бөлінді.</w:t>
      </w:r>
      <w:r w:rsidR="001E2337" w:rsidRPr="004B60C2">
        <w:rPr>
          <w:color w:val="000000"/>
          <w:sz w:val="28"/>
          <w:lang w:val="kk-KZ"/>
        </w:rPr>
        <w:t xml:space="preserve"> </w:t>
      </w:r>
    </w:p>
    <w:p w:rsidR="00394176" w:rsidRPr="004B60C2" w:rsidRDefault="00027067" w:rsidP="00272FE6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r w:rsidRPr="004B60C2">
        <w:rPr>
          <w:color w:val="000000"/>
          <w:sz w:val="28"/>
          <w:lang w:val="kk-KZ"/>
        </w:rPr>
        <w:t>Әлеуметтік</w:t>
      </w:r>
      <w:r w:rsidR="00394176" w:rsidRPr="004B60C2">
        <w:rPr>
          <w:color w:val="000000"/>
          <w:sz w:val="28"/>
          <w:lang w:val="kk-KZ"/>
        </w:rPr>
        <w:t>-кәсіпкерлік корпорациялар арқылы АӨК саласындағы ірі өнеркәсіптік инвестициялық жобаларды іске асыру бойынша Солтүстік Қазақстан облысының табысты тәжірибесін тираждау бойынша жұмыс жүргізілуде. Қарыз</w:t>
      </w:r>
      <w:r w:rsidRPr="004B60C2">
        <w:rPr>
          <w:color w:val="000000"/>
          <w:sz w:val="28"/>
          <w:lang w:val="kk-KZ"/>
        </w:rPr>
        <w:t xml:space="preserve"> беру шарттары барынша жеңілдетілген</w:t>
      </w:r>
      <w:r w:rsidR="00394176" w:rsidRPr="004B60C2">
        <w:rPr>
          <w:color w:val="000000"/>
          <w:sz w:val="28"/>
          <w:lang w:val="kk-KZ"/>
        </w:rPr>
        <w:t>. Ағымдағы жылдың өзінде бұл мақсаттарға 100 млрд теңге бөлінді, соның есебінен 65-ке жуық сүт-тауар фермаларының құрылысы қаржыландырылатын болады.</w:t>
      </w:r>
    </w:p>
    <w:p w:rsidR="001E2337" w:rsidRPr="004B60C2" w:rsidRDefault="00394176" w:rsidP="00272FE6">
      <w:pPr>
        <w:shd w:val="clear" w:color="auto" w:fill="FFFFFF"/>
        <w:ind w:firstLine="709"/>
        <w:jc w:val="both"/>
        <w:rPr>
          <w:sz w:val="28"/>
          <w:szCs w:val="32"/>
          <w:lang w:val="kk-KZ"/>
        </w:rPr>
      </w:pPr>
      <w:r w:rsidRPr="004B60C2">
        <w:rPr>
          <w:sz w:val="28"/>
          <w:szCs w:val="32"/>
          <w:lang w:val="kk-KZ"/>
        </w:rPr>
        <w:lastRenderedPageBreak/>
        <w:t xml:space="preserve">Бұл ретте, Дүниежүзілік сауда ұйымына кіру кезінде елдер қабылдаған қолданыстағы міндеттемелер шеңберінде 2022 жылдың қорытындысы бойынша өндірілген ауыл шаруашылығы өнімінің жалпы құнынан ішкі қолдау деңгейі </w:t>
      </w:r>
      <w:r w:rsidR="008F7855" w:rsidRPr="004B60C2">
        <w:rPr>
          <w:sz w:val="28"/>
          <w:szCs w:val="32"/>
          <w:lang w:val="kk-KZ"/>
        </w:rPr>
        <w:br/>
      </w:r>
      <w:r w:rsidRPr="004B60C2">
        <w:rPr>
          <w:i/>
          <w:lang w:val="kk-KZ"/>
        </w:rPr>
        <w:t>(</w:t>
      </w:r>
      <w:r w:rsidR="008F7855" w:rsidRPr="004B60C2">
        <w:rPr>
          <w:i/>
          <w:lang w:val="kk-KZ"/>
        </w:rPr>
        <w:t xml:space="preserve">de </w:t>
      </w:r>
      <w:r w:rsidRPr="004B60C2">
        <w:rPr>
          <w:i/>
          <w:lang w:val="kk-KZ"/>
        </w:rPr>
        <w:t>minimis деңгейі)</w:t>
      </w:r>
      <w:r w:rsidRPr="004B60C2">
        <w:rPr>
          <w:sz w:val="28"/>
          <w:szCs w:val="32"/>
          <w:lang w:val="kk-KZ"/>
        </w:rPr>
        <w:t xml:space="preserve"> Беларусь Республикасында 10% міндеттеме кезінде </w:t>
      </w:r>
      <w:r w:rsidR="008F7855" w:rsidRPr="004B60C2">
        <w:rPr>
          <w:sz w:val="28"/>
          <w:szCs w:val="32"/>
          <w:lang w:val="kk-KZ"/>
        </w:rPr>
        <w:br/>
      </w:r>
      <w:r w:rsidRPr="004B60C2">
        <w:rPr>
          <w:sz w:val="28"/>
          <w:szCs w:val="32"/>
          <w:lang w:val="kk-KZ"/>
        </w:rPr>
        <w:t>2,5%, Қазақстан Республикасында 8,5% міндеттеме кезінде 4,8%, Қырғыз Республикасы</w:t>
      </w:r>
      <w:r w:rsidR="00027067" w:rsidRPr="004B60C2">
        <w:rPr>
          <w:sz w:val="28"/>
          <w:szCs w:val="32"/>
          <w:lang w:val="kk-KZ"/>
        </w:rPr>
        <w:t>нда</w:t>
      </w:r>
      <w:r w:rsidRPr="004B60C2">
        <w:rPr>
          <w:sz w:val="28"/>
          <w:szCs w:val="32"/>
          <w:lang w:val="kk-KZ"/>
        </w:rPr>
        <w:t xml:space="preserve"> </w:t>
      </w:r>
      <w:r w:rsidR="00027067" w:rsidRPr="004B60C2">
        <w:rPr>
          <w:sz w:val="28"/>
          <w:szCs w:val="32"/>
          <w:lang w:val="kk-KZ"/>
        </w:rPr>
        <w:t xml:space="preserve">5% </w:t>
      </w:r>
      <w:r w:rsidRPr="004B60C2">
        <w:rPr>
          <w:sz w:val="28"/>
          <w:szCs w:val="32"/>
          <w:lang w:val="kk-KZ"/>
        </w:rPr>
        <w:t xml:space="preserve">міндеттеме кезінде </w:t>
      </w:r>
      <w:r w:rsidR="00027067" w:rsidRPr="004B60C2">
        <w:rPr>
          <w:sz w:val="28"/>
          <w:szCs w:val="32"/>
          <w:lang w:val="kk-KZ"/>
        </w:rPr>
        <w:t>0,13%</w:t>
      </w:r>
      <w:r w:rsidRPr="004B60C2">
        <w:rPr>
          <w:sz w:val="28"/>
          <w:szCs w:val="32"/>
          <w:lang w:val="kk-KZ"/>
        </w:rPr>
        <w:t xml:space="preserve"> және </w:t>
      </w:r>
      <w:r w:rsidR="00027067" w:rsidRPr="004B60C2">
        <w:rPr>
          <w:sz w:val="28"/>
          <w:szCs w:val="32"/>
          <w:lang w:val="kk-KZ"/>
        </w:rPr>
        <w:t xml:space="preserve">Ресей Федерациясында  </w:t>
      </w:r>
      <w:r w:rsidR="00027067" w:rsidRPr="004B60C2">
        <w:rPr>
          <w:sz w:val="28"/>
          <w:szCs w:val="32"/>
          <w:lang w:val="kk-KZ"/>
        </w:rPr>
        <w:br/>
        <w:t xml:space="preserve">5% </w:t>
      </w:r>
      <w:r w:rsidRPr="004B60C2">
        <w:rPr>
          <w:sz w:val="28"/>
          <w:szCs w:val="32"/>
          <w:lang w:val="kk-KZ"/>
        </w:rPr>
        <w:t xml:space="preserve">міндеттеме кезінде </w:t>
      </w:r>
      <w:r w:rsidR="00027067" w:rsidRPr="004B60C2">
        <w:rPr>
          <w:sz w:val="28"/>
          <w:szCs w:val="32"/>
          <w:lang w:val="kk-KZ"/>
        </w:rPr>
        <w:t>2,88% құрайтынын атап өту қажет</w:t>
      </w:r>
      <w:r w:rsidRPr="004B60C2">
        <w:rPr>
          <w:sz w:val="28"/>
          <w:szCs w:val="32"/>
          <w:lang w:val="kk-KZ"/>
        </w:rPr>
        <w:t>.</w:t>
      </w:r>
    </w:p>
    <w:p w:rsidR="00394176" w:rsidRPr="004B60C2" w:rsidRDefault="00394176" w:rsidP="00272FE6">
      <w:pPr>
        <w:ind w:firstLine="709"/>
        <w:contextualSpacing/>
        <w:jc w:val="both"/>
        <w:rPr>
          <w:sz w:val="28"/>
          <w:szCs w:val="32"/>
          <w:lang w:val="kk-KZ"/>
        </w:rPr>
      </w:pPr>
      <w:r w:rsidRPr="004B60C2">
        <w:rPr>
          <w:sz w:val="28"/>
          <w:szCs w:val="32"/>
          <w:lang w:val="kk-KZ"/>
        </w:rPr>
        <w:t>Осылайша, АӨК субъектілеріне мемлекет көрсететін қолдау деңгейі басқа елдер көрсететін қолдаудың ұқсас деңгейімен байланысты екенін атап өтеміз.</w:t>
      </w:r>
    </w:p>
    <w:p w:rsidR="001E2337" w:rsidRPr="004B60C2" w:rsidRDefault="008F7855" w:rsidP="00272FE6">
      <w:pPr>
        <w:ind w:firstLine="709"/>
        <w:contextualSpacing/>
        <w:jc w:val="both"/>
        <w:rPr>
          <w:i/>
          <w:sz w:val="28"/>
          <w:szCs w:val="28"/>
          <w:lang w:val="kk-KZ"/>
        </w:rPr>
      </w:pPr>
      <w:r w:rsidRPr="004B60C2">
        <w:rPr>
          <w:i/>
          <w:sz w:val="28"/>
          <w:szCs w:val="28"/>
          <w:lang w:val="kk-KZ"/>
        </w:rPr>
        <w:t>«</w:t>
      </w:r>
      <w:r w:rsidR="00394176" w:rsidRPr="004B60C2">
        <w:rPr>
          <w:i/>
          <w:sz w:val="28"/>
          <w:szCs w:val="28"/>
          <w:lang w:val="kk-KZ"/>
        </w:rPr>
        <w:t>Атамекен</w:t>
      </w:r>
      <w:r w:rsidRPr="004B60C2">
        <w:rPr>
          <w:i/>
          <w:sz w:val="28"/>
          <w:szCs w:val="28"/>
          <w:lang w:val="kk-KZ"/>
        </w:rPr>
        <w:t>»</w:t>
      </w:r>
      <w:r w:rsidR="00027067" w:rsidRPr="004B60C2">
        <w:rPr>
          <w:i/>
          <w:sz w:val="28"/>
          <w:szCs w:val="28"/>
          <w:lang w:val="kk-KZ"/>
        </w:rPr>
        <w:t xml:space="preserve"> Ұлттық кәсіпкерлер п</w:t>
      </w:r>
      <w:r w:rsidR="00394176" w:rsidRPr="004B60C2">
        <w:rPr>
          <w:i/>
          <w:sz w:val="28"/>
          <w:szCs w:val="28"/>
          <w:lang w:val="kk-KZ"/>
        </w:rPr>
        <w:t>алатасы шашыраңқы қоғамдық ұйымдарды біріктіру үшін шаралар қабылдауға қатысты</w:t>
      </w:r>
    </w:p>
    <w:p w:rsidR="005E719A" w:rsidRPr="004B60C2" w:rsidRDefault="008F7855" w:rsidP="00272FE6">
      <w:pPr>
        <w:shd w:val="clear" w:color="auto" w:fill="FFFFFF"/>
        <w:ind w:firstLine="709"/>
        <w:jc w:val="both"/>
        <w:rPr>
          <w:color w:val="000000"/>
          <w:sz w:val="28"/>
          <w:lang w:val="kk-KZ"/>
        </w:rPr>
      </w:pPr>
      <w:r w:rsidRPr="004B60C2">
        <w:rPr>
          <w:color w:val="000000"/>
          <w:sz w:val="28"/>
          <w:lang w:val="kk-KZ"/>
        </w:rPr>
        <w:t>«</w:t>
      </w:r>
      <w:r w:rsidR="00394176" w:rsidRPr="004B60C2">
        <w:rPr>
          <w:color w:val="000000"/>
          <w:sz w:val="28"/>
          <w:lang w:val="kk-KZ"/>
        </w:rPr>
        <w:t>Атамекен</w:t>
      </w:r>
      <w:r w:rsidRPr="004B60C2">
        <w:rPr>
          <w:color w:val="000000"/>
          <w:sz w:val="28"/>
          <w:lang w:val="kk-KZ"/>
        </w:rPr>
        <w:t>»</w:t>
      </w:r>
      <w:r w:rsidR="00394176" w:rsidRPr="004B60C2">
        <w:rPr>
          <w:color w:val="000000"/>
          <w:sz w:val="28"/>
          <w:lang w:val="kk-KZ"/>
        </w:rPr>
        <w:t xml:space="preserve"> ҰКП ақпараты бойынша, бизнес-қоғамдастықтың мемлекеттік билік орг</w:t>
      </w:r>
      <w:r w:rsidR="00027067" w:rsidRPr="004B60C2">
        <w:rPr>
          <w:color w:val="000000"/>
          <w:sz w:val="28"/>
          <w:lang w:val="kk-KZ"/>
        </w:rPr>
        <w:t>андарымен тиімді өзара іс-қимыл ету</w:t>
      </w:r>
      <w:r w:rsidR="00394176" w:rsidRPr="004B60C2">
        <w:rPr>
          <w:color w:val="000000"/>
          <w:sz w:val="28"/>
          <w:lang w:val="kk-KZ"/>
        </w:rPr>
        <w:t xml:space="preserve"> мақсатында, сондай-ақ отандық аграрлық бизнес субъектілерінің проблемалық мәселелерін шешу үшін </w:t>
      </w:r>
      <w:r w:rsidRPr="004B60C2">
        <w:rPr>
          <w:color w:val="000000"/>
          <w:sz w:val="28"/>
          <w:lang w:val="kk-KZ"/>
        </w:rPr>
        <w:t>«</w:t>
      </w:r>
      <w:r w:rsidR="00394176" w:rsidRPr="004B60C2">
        <w:rPr>
          <w:color w:val="000000"/>
          <w:sz w:val="28"/>
          <w:lang w:val="kk-KZ"/>
        </w:rPr>
        <w:t>Атамекен</w:t>
      </w:r>
      <w:r w:rsidRPr="004B60C2">
        <w:rPr>
          <w:color w:val="000000"/>
          <w:sz w:val="28"/>
          <w:lang w:val="kk-KZ"/>
        </w:rPr>
        <w:t>»</w:t>
      </w:r>
      <w:r w:rsidR="00394176" w:rsidRPr="004B60C2">
        <w:rPr>
          <w:color w:val="000000"/>
          <w:sz w:val="28"/>
          <w:lang w:val="kk-KZ"/>
        </w:rPr>
        <w:t xml:space="preserve"> ҰКП еліміздің АӨК дамыту мәселелері бойынша бизнестің бірыңғай келісілген ұстанымын шоғырландыру және әзірлеу жөнінде қажетті шаралар қабылдануда</w:t>
      </w:r>
      <w:r w:rsidR="009616B9" w:rsidRPr="004B60C2">
        <w:rPr>
          <w:color w:val="000000"/>
          <w:sz w:val="28"/>
          <w:lang w:val="kk-KZ"/>
        </w:rPr>
        <w:t>.</w:t>
      </w:r>
    </w:p>
    <w:p w:rsidR="00394176" w:rsidRPr="004B60C2" w:rsidRDefault="00394176" w:rsidP="00272FE6">
      <w:pPr>
        <w:shd w:val="clear" w:color="auto" w:fill="FFFFFF"/>
        <w:ind w:firstLine="709"/>
        <w:jc w:val="both"/>
        <w:rPr>
          <w:i/>
          <w:color w:val="000000"/>
          <w:lang w:val="kk-KZ"/>
        </w:rPr>
      </w:pPr>
      <w:r w:rsidRPr="004B60C2">
        <w:rPr>
          <w:b/>
          <w:i/>
          <w:color w:val="000000"/>
          <w:u w:val="single"/>
          <w:lang w:val="kk-KZ"/>
        </w:rPr>
        <w:t>Анықтама</w:t>
      </w:r>
      <w:r w:rsidRPr="004B60C2">
        <w:rPr>
          <w:i/>
          <w:color w:val="000000"/>
          <w:u w:val="single"/>
          <w:lang w:val="kk-KZ"/>
        </w:rPr>
        <w:t xml:space="preserve">: </w:t>
      </w:r>
      <w:r w:rsidR="008F7855" w:rsidRPr="004B60C2">
        <w:rPr>
          <w:i/>
          <w:color w:val="000000"/>
          <w:lang w:val="kk-KZ"/>
        </w:rPr>
        <w:t>мысалы, 2022 жылы «</w:t>
      </w:r>
      <w:r w:rsidRPr="004B60C2">
        <w:rPr>
          <w:i/>
          <w:color w:val="000000"/>
          <w:lang w:val="kk-KZ"/>
        </w:rPr>
        <w:t>Атамекен</w:t>
      </w:r>
      <w:r w:rsidR="008F7855" w:rsidRPr="004B60C2">
        <w:rPr>
          <w:i/>
          <w:color w:val="000000"/>
          <w:lang w:val="kk-KZ"/>
        </w:rPr>
        <w:t>»</w:t>
      </w:r>
      <w:r w:rsidRPr="004B60C2">
        <w:rPr>
          <w:i/>
          <w:color w:val="000000"/>
          <w:lang w:val="kk-KZ"/>
        </w:rPr>
        <w:t xml:space="preserve"> ҰКП АӨК комитеті АӨК субсидиялау тетіктерін қайта қарау жөніндегі мемлекеттік органдардың қатысуымен мәселені бірнеше рет қарады, оның қорытындысы бойынша Комитет қолданыстағы мемлекеттік қолдау шараларын қалдыру туралы шешім қабылдады.</w:t>
      </w:r>
    </w:p>
    <w:p w:rsidR="00394176" w:rsidRPr="004B60C2" w:rsidRDefault="008F7855" w:rsidP="00272FE6">
      <w:pPr>
        <w:tabs>
          <w:tab w:val="left" w:pos="6379"/>
        </w:tabs>
        <w:ind w:firstLine="709"/>
        <w:jc w:val="both"/>
        <w:rPr>
          <w:i/>
          <w:color w:val="000000"/>
          <w:lang w:val="kk-KZ"/>
        </w:rPr>
      </w:pPr>
      <w:r w:rsidRPr="004B60C2">
        <w:rPr>
          <w:i/>
          <w:color w:val="000000"/>
          <w:lang w:val="kk-KZ"/>
        </w:rPr>
        <w:t>Ағымдағы жылы «</w:t>
      </w:r>
      <w:r w:rsidR="00394176" w:rsidRPr="004B60C2">
        <w:rPr>
          <w:i/>
          <w:color w:val="000000"/>
          <w:lang w:val="kk-KZ"/>
        </w:rPr>
        <w:t>Атамекен</w:t>
      </w:r>
      <w:r w:rsidRPr="004B60C2">
        <w:rPr>
          <w:i/>
          <w:color w:val="000000"/>
          <w:lang w:val="kk-KZ"/>
        </w:rPr>
        <w:t>»</w:t>
      </w:r>
      <w:r w:rsidR="00394176" w:rsidRPr="004B60C2">
        <w:rPr>
          <w:i/>
          <w:color w:val="000000"/>
          <w:lang w:val="kk-KZ"/>
        </w:rPr>
        <w:t xml:space="preserve"> ҰКП АӨК комитеті асыл тұқымды мал шаруашылығын дамытуды субсидиялау, мал шаруашылығы өнімінің өнімділігі мен сапасын арттыру қағидаларына, сондай-ақ инвестициялық салымдар кезінде агроөнеркәсіптік кешен субъектісі шеккен шығыстардың бір бөлігін өтеу жөніндегі субсидиялау қағидаларына өзгерістер енгізу туралы мәселені қарады. Отырыс қорытындысы бойынша АШМ-ге </w:t>
      </w:r>
      <w:r w:rsidR="00027067" w:rsidRPr="004B60C2">
        <w:rPr>
          <w:i/>
          <w:color w:val="000000"/>
          <w:lang w:val="kk-KZ"/>
        </w:rPr>
        <w:t>Е</w:t>
      </w:r>
      <w:r w:rsidR="00394176" w:rsidRPr="004B60C2">
        <w:rPr>
          <w:i/>
          <w:color w:val="000000"/>
          <w:lang w:val="kk-KZ"/>
        </w:rPr>
        <w:t>режеге өзгерістер е</w:t>
      </w:r>
      <w:r w:rsidR="00027067" w:rsidRPr="004B60C2">
        <w:rPr>
          <w:i/>
          <w:color w:val="000000"/>
          <w:lang w:val="kk-KZ"/>
        </w:rPr>
        <w:t>нгізу бойынша АШТӨ ұсыныстары берілген</w:t>
      </w:r>
      <w:r w:rsidR="00394176" w:rsidRPr="004B60C2">
        <w:rPr>
          <w:i/>
          <w:color w:val="000000"/>
          <w:lang w:val="kk-KZ"/>
        </w:rPr>
        <w:t xml:space="preserve"> Комитет</w:t>
      </w:r>
      <w:r w:rsidR="00027067" w:rsidRPr="004B60C2">
        <w:rPr>
          <w:i/>
          <w:color w:val="000000"/>
          <w:lang w:val="kk-KZ"/>
        </w:rPr>
        <w:t>тің</w:t>
      </w:r>
      <w:r w:rsidR="00394176" w:rsidRPr="004B60C2">
        <w:rPr>
          <w:i/>
          <w:color w:val="000000"/>
          <w:lang w:val="kk-KZ"/>
        </w:rPr>
        <w:t xml:space="preserve"> </w:t>
      </w:r>
      <w:r w:rsidR="00027067" w:rsidRPr="004B60C2">
        <w:rPr>
          <w:i/>
          <w:color w:val="000000"/>
          <w:lang w:val="kk-KZ"/>
        </w:rPr>
        <w:t xml:space="preserve">хаттамасы </w:t>
      </w:r>
      <w:r w:rsidR="00394176" w:rsidRPr="004B60C2">
        <w:rPr>
          <w:i/>
          <w:color w:val="000000"/>
          <w:lang w:val="kk-KZ"/>
        </w:rPr>
        <w:t>жолданды. Сондай-ақ</w:t>
      </w:r>
      <w:r w:rsidR="00027067" w:rsidRPr="004B60C2">
        <w:rPr>
          <w:i/>
          <w:color w:val="000000"/>
          <w:lang w:val="kk-KZ"/>
        </w:rPr>
        <w:t>,</w:t>
      </w:r>
      <w:r w:rsidR="00394176" w:rsidRPr="004B60C2">
        <w:rPr>
          <w:i/>
          <w:color w:val="000000"/>
          <w:lang w:val="kk-KZ"/>
        </w:rPr>
        <w:t xml:space="preserve"> АӨК-нің басқа да мәселелері қаралуда.</w:t>
      </w:r>
    </w:p>
    <w:p w:rsidR="00394176" w:rsidRPr="004B60C2" w:rsidRDefault="00394176" w:rsidP="00272FE6">
      <w:pPr>
        <w:ind w:right="141" w:firstLine="709"/>
        <w:jc w:val="both"/>
        <w:rPr>
          <w:i/>
          <w:sz w:val="28"/>
          <w:szCs w:val="28"/>
          <w:lang w:val="kk-KZ"/>
        </w:rPr>
      </w:pPr>
      <w:r w:rsidRPr="004B60C2">
        <w:rPr>
          <w:i/>
          <w:sz w:val="28"/>
          <w:szCs w:val="28"/>
          <w:lang w:val="kk-KZ"/>
        </w:rPr>
        <w:t>Ауыл шаруашылығы министрлігіне саяси беделін арттыру мақсатында министрге Премьер-Министрдің орынбасарының қосымша лауазымын ұсынуға қатысты</w:t>
      </w:r>
    </w:p>
    <w:p w:rsidR="00394176" w:rsidRPr="004B60C2" w:rsidRDefault="008F7855" w:rsidP="00394176">
      <w:pPr>
        <w:ind w:right="141" w:firstLine="708"/>
        <w:jc w:val="both"/>
        <w:rPr>
          <w:sz w:val="28"/>
          <w:szCs w:val="28"/>
          <w:lang w:val="kk-KZ"/>
        </w:rPr>
      </w:pPr>
      <w:r w:rsidRPr="004B60C2">
        <w:rPr>
          <w:sz w:val="28"/>
          <w:szCs w:val="28"/>
          <w:lang w:val="kk-KZ"/>
        </w:rPr>
        <w:t>«</w:t>
      </w:r>
      <w:r w:rsidR="00394176" w:rsidRPr="004B60C2">
        <w:rPr>
          <w:sz w:val="28"/>
          <w:szCs w:val="28"/>
          <w:lang w:val="kk-KZ"/>
        </w:rPr>
        <w:t>Мемлекеттік органдар жүйесіндегі кадр саясатының кейбір мәселелері туралы</w:t>
      </w:r>
      <w:r w:rsidRPr="004B60C2">
        <w:rPr>
          <w:sz w:val="28"/>
          <w:szCs w:val="28"/>
          <w:lang w:val="kk-KZ"/>
        </w:rPr>
        <w:t>»</w:t>
      </w:r>
      <w:r w:rsidR="00394176" w:rsidRPr="004B60C2">
        <w:rPr>
          <w:sz w:val="28"/>
          <w:szCs w:val="28"/>
          <w:lang w:val="kk-KZ"/>
        </w:rPr>
        <w:t xml:space="preserve"> Президенттің 2002 жылғы 29 наурыздағы № 828 Жарлығына сәйкес Премьер-Министрдің орынбасарының лауазымын Премьер-Министрдің ұсынуы бойынша Президент тағайындайды.</w:t>
      </w:r>
    </w:p>
    <w:p w:rsidR="00851878" w:rsidRPr="004B60C2" w:rsidRDefault="00394176" w:rsidP="00394176">
      <w:pPr>
        <w:ind w:right="141" w:firstLine="708"/>
        <w:jc w:val="both"/>
        <w:rPr>
          <w:sz w:val="28"/>
          <w:szCs w:val="28"/>
          <w:lang w:val="kk-KZ"/>
        </w:rPr>
      </w:pPr>
      <w:r w:rsidRPr="004B60C2">
        <w:rPr>
          <w:sz w:val="28"/>
          <w:szCs w:val="28"/>
          <w:lang w:val="kk-KZ"/>
        </w:rPr>
        <w:t>Қазіргі уақытта Үкімет құрамына Премьер-Министрдің тиісті сала</w:t>
      </w:r>
      <w:r w:rsidR="008F7855" w:rsidRPr="004B60C2">
        <w:rPr>
          <w:sz w:val="28"/>
          <w:szCs w:val="28"/>
          <w:lang w:val="kk-KZ"/>
        </w:rPr>
        <w:t>лар</w:t>
      </w:r>
      <w:r w:rsidRPr="004B60C2">
        <w:rPr>
          <w:sz w:val="28"/>
          <w:szCs w:val="28"/>
          <w:lang w:val="kk-KZ"/>
        </w:rPr>
        <w:t>дағы, оның ішінде АӨК-дегі</w:t>
      </w:r>
      <w:r w:rsidR="008F7855" w:rsidRPr="004B60C2">
        <w:rPr>
          <w:sz w:val="28"/>
          <w:szCs w:val="28"/>
          <w:lang w:val="kk-KZ"/>
        </w:rPr>
        <w:t>,</w:t>
      </w:r>
      <w:r w:rsidRPr="004B60C2">
        <w:rPr>
          <w:sz w:val="28"/>
          <w:szCs w:val="28"/>
          <w:lang w:val="kk-KZ"/>
        </w:rPr>
        <w:t xml:space="preserve"> жұмысты үйлестіретін 6 орынбасары кіреді.</w:t>
      </w:r>
    </w:p>
    <w:p w:rsidR="00394176" w:rsidRPr="004B60C2" w:rsidRDefault="00394176" w:rsidP="00394176">
      <w:pPr>
        <w:ind w:right="141" w:firstLine="708"/>
        <w:jc w:val="both"/>
        <w:rPr>
          <w:sz w:val="28"/>
          <w:szCs w:val="28"/>
          <w:lang w:val="kk-KZ"/>
        </w:rPr>
      </w:pPr>
    </w:p>
    <w:p w:rsidR="00394176" w:rsidRPr="004B60C2" w:rsidRDefault="00394176" w:rsidP="00394176">
      <w:pPr>
        <w:ind w:right="141" w:firstLine="708"/>
        <w:jc w:val="both"/>
        <w:rPr>
          <w:sz w:val="28"/>
          <w:szCs w:val="28"/>
          <w:lang w:val="kk-KZ"/>
        </w:rPr>
      </w:pPr>
    </w:p>
    <w:p w:rsidR="00851878" w:rsidRPr="004B60C2" w:rsidRDefault="0055430E" w:rsidP="00851878">
      <w:pPr>
        <w:ind w:right="141" w:firstLine="708"/>
        <w:jc w:val="right"/>
        <w:rPr>
          <w:b/>
          <w:sz w:val="28"/>
          <w:lang w:val="kk-KZ"/>
        </w:rPr>
      </w:pPr>
      <w:r w:rsidRPr="004B60C2">
        <w:rPr>
          <w:b/>
          <w:sz w:val="28"/>
          <w:szCs w:val="28"/>
          <w:lang w:val="kk-KZ"/>
        </w:rPr>
        <w:t>Ә</w:t>
      </w:r>
      <w:r w:rsidR="00851878" w:rsidRPr="004B60C2">
        <w:rPr>
          <w:b/>
          <w:sz w:val="28"/>
          <w:szCs w:val="28"/>
          <w:lang w:val="kk-KZ"/>
        </w:rPr>
        <w:t>. Сма</w:t>
      </w:r>
      <w:r w:rsidRPr="004B60C2">
        <w:rPr>
          <w:b/>
          <w:sz w:val="28"/>
          <w:szCs w:val="28"/>
          <w:lang w:val="kk-KZ"/>
        </w:rPr>
        <w:t>йы</w:t>
      </w:r>
      <w:r w:rsidR="00851878" w:rsidRPr="004B60C2">
        <w:rPr>
          <w:b/>
          <w:sz w:val="28"/>
          <w:szCs w:val="28"/>
          <w:lang w:val="kk-KZ"/>
        </w:rPr>
        <w:t>лов</w:t>
      </w:r>
    </w:p>
    <w:p w:rsidR="00450055" w:rsidRPr="004B60C2" w:rsidRDefault="00450055" w:rsidP="00450055">
      <w:pPr>
        <w:rPr>
          <w:b/>
          <w:sz w:val="28"/>
          <w:lang w:val="kk-KZ"/>
        </w:rPr>
      </w:pPr>
    </w:p>
    <w:p w:rsidR="00450055" w:rsidRPr="004B60C2" w:rsidRDefault="00450055" w:rsidP="00450055">
      <w:pPr>
        <w:rPr>
          <w:b/>
          <w:sz w:val="28"/>
          <w:lang w:val="kk-KZ"/>
        </w:rPr>
      </w:pPr>
    </w:p>
    <w:p w:rsidR="003B2A41" w:rsidRPr="004B60C2" w:rsidRDefault="003B2A41" w:rsidP="00450055">
      <w:pPr>
        <w:rPr>
          <w:b/>
          <w:sz w:val="28"/>
          <w:lang w:val="kk-KZ"/>
        </w:rPr>
      </w:pPr>
    </w:p>
    <w:p w:rsidR="003B2A41" w:rsidRPr="004B60C2" w:rsidRDefault="003B2A41" w:rsidP="00450055">
      <w:pPr>
        <w:rPr>
          <w:b/>
          <w:sz w:val="28"/>
          <w:lang w:val="kk-KZ"/>
        </w:rPr>
      </w:pPr>
    </w:p>
    <w:p w:rsidR="003B2A41" w:rsidRPr="004B60C2" w:rsidRDefault="003B2A41" w:rsidP="00450055">
      <w:pPr>
        <w:rPr>
          <w:b/>
          <w:sz w:val="28"/>
          <w:lang w:val="kk-KZ"/>
        </w:rPr>
      </w:pPr>
    </w:p>
    <w:p w:rsidR="0055430E" w:rsidRPr="0055430E" w:rsidRDefault="0055430E" w:rsidP="0055430E">
      <w:pPr>
        <w:spacing w:line="259" w:lineRule="auto"/>
        <w:ind w:firstLine="708"/>
        <w:jc w:val="center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lastRenderedPageBreak/>
        <w:t>«Ауыл» партиясы</w:t>
      </w:r>
    </w:p>
    <w:p w:rsidR="0055430E" w:rsidRPr="004B60C2" w:rsidRDefault="0055430E" w:rsidP="0055430E">
      <w:pPr>
        <w:spacing w:line="259" w:lineRule="auto"/>
        <w:ind w:firstLine="708"/>
        <w:jc w:val="center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4B60C2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фракциясы</w:t>
      </w: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 xml:space="preserve"> депутаттары</w:t>
      </w:r>
      <w:r w:rsidRPr="004B60C2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ның тізімі:</w:t>
      </w:r>
    </w:p>
    <w:p w:rsidR="0055430E" w:rsidRPr="004B60C2" w:rsidRDefault="0055430E" w:rsidP="0055430E">
      <w:pPr>
        <w:spacing w:line="259" w:lineRule="auto"/>
        <w:ind w:firstLine="708"/>
        <w:jc w:val="center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spacing w:line="259" w:lineRule="auto"/>
        <w:ind w:firstLine="708"/>
        <w:jc w:val="center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jc w:val="both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Анас Баққожаев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 xml:space="preserve"> </w:t>
      </w: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 xml:space="preserve">Серік Егізбаев 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Жигули Дайрабаев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Аян Зейнуллин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Қарақат Әбден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Николай Арсютин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Ерболат Саурықов</w:t>
      </w:r>
    </w:p>
    <w:p w:rsidR="0055430E" w:rsidRPr="0055430E" w:rsidRDefault="0055430E" w:rsidP="0055430E">
      <w:pPr>
        <w:ind w:firstLine="6804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  <w:r w:rsidRPr="0055430E"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  <w:t>Таңсауле Серіков</w:t>
      </w:r>
    </w:p>
    <w:p w:rsidR="0055430E" w:rsidRPr="0055430E" w:rsidRDefault="0055430E" w:rsidP="0055430E">
      <w:pPr>
        <w:spacing w:line="259" w:lineRule="auto"/>
        <w:ind w:firstLine="708"/>
        <w:jc w:val="both"/>
        <w:rPr>
          <w:rFonts w:eastAsia="Calibri"/>
          <w:b/>
          <w:bCs/>
          <w:kern w:val="2"/>
          <w:sz w:val="28"/>
          <w:szCs w:val="28"/>
          <w:lang w:val="kk-KZ" w:eastAsia="en-US"/>
          <w14:ligatures w14:val="standardContextual"/>
        </w:rPr>
      </w:pPr>
    </w:p>
    <w:p w:rsidR="0055430E" w:rsidRPr="0055430E" w:rsidRDefault="0055430E" w:rsidP="0055430E">
      <w:pPr>
        <w:jc w:val="both"/>
        <w:rPr>
          <w:rFonts w:eastAsia="Calibri"/>
          <w:i/>
          <w:sz w:val="22"/>
          <w:szCs w:val="22"/>
          <w:lang w:val="kk-KZ" w:eastAsia="en-US"/>
        </w:rPr>
      </w:pPr>
    </w:p>
    <w:p w:rsidR="0055430E" w:rsidRPr="0055430E" w:rsidRDefault="0055430E" w:rsidP="0055430E">
      <w:pPr>
        <w:jc w:val="both"/>
        <w:rPr>
          <w:rFonts w:eastAsia="Calibri"/>
          <w:i/>
          <w:sz w:val="22"/>
          <w:szCs w:val="22"/>
          <w:lang w:val="kk-KZ" w:eastAsia="en-US"/>
        </w:rPr>
      </w:pPr>
    </w:p>
    <w:p w:rsidR="0055430E" w:rsidRPr="0055430E" w:rsidRDefault="0055430E" w:rsidP="0055430E">
      <w:pPr>
        <w:jc w:val="both"/>
        <w:rPr>
          <w:rFonts w:eastAsia="Calibri"/>
          <w:i/>
          <w:sz w:val="22"/>
          <w:szCs w:val="22"/>
          <w:lang w:val="kk-KZ" w:eastAsia="en-US"/>
        </w:rPr>
      </w:pPr>
    </w:p>
    <w:p w:rsidR="004B60C2" w:rsidRDefault="004B60C2" w:rsidP="006E5CB0">
      <w:pPr>
        <w:rPr>
          <w:b/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Pr="004B60C2" w:rsidRDefault="004B60C2" w:rsidP="004B60C2">
      <w:pPr>
        <w:rPr>
          <w:lang w:val="kk-KZ"/>
        </w:rPr>
      </w:pPr>
    </w:p>
    <w:p w:rsidR="004B60C2" w:rsidRDefault="004B60C2" w:rsidP="004B60C2">
      <w:pPr>
        <w:rPr>
          <w:lang w:val="kk-KZ"/>
        </w:rPr>
      </w:pPr>
    </w:p>
    <w:p w:rsidR="004B60C2" w:rsidRDefault="004B60C2" w:rsidP="004B60C2">
      <w:pPr>
        <w:rPr>
          <w:lang w:val="kk-KZ"/>
        </w:rPr>
      </w:pPr>
    </w:p>
    <w:p w:rsidR="00450055" w:rsidRDefault="004B60C2" w:rsidP="004B60C2">
      <w:pPr>
        <w:rPr>
          <w:lang w:val="kk-KZ"/>
        </w:rPr>
      </w:pPr>
      <w:r>
        <w:rPr>
          <w:lang w:val="kk-KZ"/>
        </w:rPr>
        <w:t xml:space="preserve">А. Токтарова </w:t>
      </w:r>
    </w:p>
    <w:p w:rsidR="004B60C2" w:rsidRPr="004B60C2" w:rsidRDefault="004B60C2" w:rsidP="004B60C2">
      <w:pPr>
        <w:rPr>
          <w:lang w:val="kk-KZ"/>
        </w:rPr>
      </w:pPr>
      <w:r>
        <w:rPr>
          <w:lang w:val="kk-KZ"/>
        </w:rPr>
        <w:t>75-00-33</w:t>
      </w:r>
    </w:p>
    <w:sectPr w:rsidR="004B60C2" w:rsidRPr="004B60C2" w:rsidSect="0059589F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0A" w:rsidRDefault="0038560A" w:rsidP="00450055">
      <w:r>
        <w:separator/>
      </w:r>
    </w:p>
  </w:endnote>
  <w:endnote w:type="continuationSeparator" w:id="0">
    <w:p w:rsidR="0038560A" w:rsidRDefault="0038560A" w:rsidP="0045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0A" w:rsidRDefault="0038560A" w:rsidP="00450055">
      <w:r>
        <w:separator/>
      </w:r>
    </w:p>
  </w:footnote>
  <w:footnote w:type="continuationSeparator" w:id="0">
    <w:p w:rsidR="0038560A" w:rsidRDefault="0038560A" w:rsidP="00450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0159"/>
      <w:docPartObj>
        <w:docPartGallery w:val="Page Numbers (Top of Page)"/>
        <w:docPartUnique/>
      </w:docPartObj>
    </w:sdtPr>
    <w:sdtEndPr/>
    <w:sdtContent>
      <w:p w:rsidR="00450055" w:rsidRDefault="004500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F9">
          <w:rPr>
            <w:noProof/>
          </w:rPr>
          <w:t>2</w:t>
        </w:r>
        <w:r>
          <w:fldChar w:fldCharType="end"/>
        </w:r>
      </w:p>
    </w:sdtContent>
  </w:sdt>
  <w:p w:rsidR="00450055" w:rsidRDefault="004500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CB0" w:rsidRDefault="00F96EF9">
    <w:pPr>
      <w:pStyle w:val="a5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-963930</wp:posOffset>
              </wp:positionH>
              <wp:positionV relativeFrom="paragraph">
                <wp:posOffset>619125</wp:posOffset>
              </wp:positionV>
              <wp:extent cx="381000" cy="26670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266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6EF9" w:rsidRPr="00F96EF9" w:rsidRDefault="00F96EF9">
                          <w:pPr>
                            <w:rPr>
                              <w:b/>
                              <w:color w:val="E1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E10000"/>
                              <w:sz w:val="28"/>
                            </w:rPr>
                            <w:t>Бақылаудан алынды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5.9pt;margin-top:48.75pt;width:30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aV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F96EF9" w:rsidRPr="00F96EF9" w:rsidRDefault="00F96EF9">
                    <w:pPr>
                      <w:rPr>
                        <w:b/>
                        <w:color w:val="E10000"/>
                        <w:sz w:val="28"/>
                      </w:rPr>
                    </w:pPr>
                    <w:r>
                      <w:rPr>
                        <w:b/>
                        <w:color w:val="E10000"/>
                        <w:sz w:val="28"/>
                      </w:rPr>
                      <w:t>Бақылаудан алынды</w:t>
                    </w:r>
                  </w:p>
                </w:txbxContent>
              </v:textbox>
            </v:shape>
          </w:pict>
        </mc:Fallback>
      </mc:AlternateContent>
    </w:r>
    <w:r w:rsidR="006E5CB0" w:rsidRPr="00221CC9">
      <w:rPr>
        <w:rFonts w:ascii="Calibri" w:eastAsia="Calibri" w:hAnsi="Calibri"/>
        <w:noProof/>
      </w:rPr>
      <w:drawing>
        <wp:inline distT="0" distB="0" distL="0" distR="0" wp14:anchorId="18B06B01" wp14:editId="4305C7C0">
          <wp:extent cx="5940425" cy="1738448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878"/>
    <w:multiLevelType w:val="hybridMultilevel"/>
    <w:tmpl w:val="3AB4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330"/>
    <w:multiLevelType w:val="hybridMultilevel"/>
    <w:tmpl w:val="BEECF768"/>
    <w:lvl w:ilvl="0" w:tplc="E27C2C98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D57315"/>
    <w:multiLevelType w:val="hybridMultilevel"/>
    <w:tmpl w:val="671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D32"/>
    <w:multiLevelType w:val="hybridMultilevel"/>
    <w:tmpl w:val="7AE4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3CCA"/>
    <w:multiLevelType w:val="hybridMultilevel"/>
    <w:tmpl w:val="C9205B3A"/>
    <w:lvl w:ilvl="0" w:tplc="B1721884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B5B26FB"/>
    <w:multiLevelType w:val="hybridMultilevel"/>
    <w:tmpl w:val="3A821FE8"/>
    <w:lvl w:ilvl="0" w:tplc="AADC6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00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01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C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E5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6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3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02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51"/>
    <w:rsid w:val="00017051"/>
    <w:rsid w:val="00027067"/>
    <w:rsid w:val="000463B1"/>
    <w:rsid w:val="000505CD"/>
    <w:rsid w:val="000A6EC9"/>
    <w:rsid w:val="000B2219"/>
    <w:rsid w:val="001709BC"/>
    <w:rsid w:val="0019418E"/>
    <w:rsid w:val="001C1706"/>
    <w:rsid w:val="001D546E"/>
    <w:rsid w:val="001E2337"/>
    <w:rsid w:val="001F2906"/>
    <w:rsid w:val="00200BBE"/>
    <w:rsid w:val="002057C2"/>
    <w:rsid w:val="00225FB0"/>
    <w:rsid w:val="002334AB"/>
    <w:rsid w:val="0025398E"/>
    <w:rsid w:val="00271960"/>
    <w:rsid w:val="00272FE6"/>
    <w:rsid w:val="002C34A8"/>
    <w:rsid w:val="002F0F56"/>
    <w:rsid w:val="003043DC"/>
    <w:rsid w:val="00316353"/>
    <w:rsid w:val="003234F7"/>
    <w:rsid w:val="00370E97"/>
    <w:rsid w:val="0038560A"/>
    <w:rsid w:val="00392005"/>
    <w:rsid w:val="00393EFE"/>
    <w:rsid w:val="00394176"/>
    <w:rsid w:val="003B2A41"/>
    <w:rsid w:val="00403AAD"/>
    <w:rsid w:val="00407A53"/>
    <w:rsid w:val="00430628"/>
    <w:rsid w:val="00431327"/>
    <w:rsid w:val="00450055"/>
    <w:rsid w:val="0047382B"/>
    <w:rsid w:val="004B60C2"/>
    <w:rsid w:val="004C1648"/>
    <w:rsid w:val="004F11DE"/>
    <w:rsid w:val="004F7248"/>
    <w:rsid w:val="00507BD6"/>
    <w:rsid w:val="00546360"/>
    <w:rsid w:val="0055430E"/>
    <w:rsid w:val="00586E74"/>
    <w:rsid w:val="0059589F"/>
    <w:rsid w:val="005E719A"/>
    <w:rsid w:val="005F6A16"/>
    <w:rsid w:val="00613FB9"/>
    <w:rsid w:val="0065642A"/>
    <w:rsid w:val="00671017"/>
    <w:rsid w:val="006965ED"/>
    <w:rsid w:val="006C5466"/>
    <w:rsid w:val="006D077C"/>
    <w:rsid w:val="006E5CB0"/>
    <w:rsid w:val="0070398D"/>
    <w:rsid w:val="007135D6"/>
    <w:rsid w:val="00731D3D"/>
    <w:rsid w:val="00743457"/>
    <w:rsid w:val="00770849"/>
    <w:rsid w:val="00793C7C"/>
    <w:rsid w:val="0082060B"/>
    <w:rsid w:val="00830FFB"/>
    <w:rsid w:val="00834D28"/>
    <w:rsid w:val="00844C2F"/>
    <w:rsid w:val="00851878"/>
    <w:rsid w:val="008A05CF"/>
    <w:rsid w:val="008F353B"/>
    <w:rsid w:val="008F7855"/>
    <w:rsid w:val="00932A11"/>
    <w:rsid w:val="00945420"/>
    <w:rsid w:val="009616B9"/>
    <w:rsid w:val="009715A5"/>
    <w:rsid w:val="00A043DD"/>
    <w:rsid w:val="00A35F1C"/>
    <w:rsid w:val="00A67200"/>
    <w:rsid w:val="00A971E1"/>
    <w:rsid w:val="00AB499B"/>
    <w:rsid w:val="00B2524F"/>
    <w:rsid w:val="00B327EA"/>
    <w:rsid w:val="00B924BB"/>
    <w:rsid w:val="00BA5EB5"/>
    <w:rsid w:val="00BC361F"/>
    <w:rsid w:val="00BC428F"/>
    <w:rsid w:val="00BE0A94"/>
    <w:rsid w:val="00BF4D33"/>
    <w:rsid w:val="00C21F79"/>
    <w:rsid w:val="00C25D7A"/>
    <w:rsid w:val="00C412B9"/>
    <w:rsid w:val="00C46ECE"/>
    <w:rsid w:val="00C663FD"/>
    <w:rsid w:val="00C83435"/>
    <w:rsid w:val="00CA35B4"/>
    <w:rsid w:val="00CC02EE"/>
    <w:rsid w:val="00CC34AF"/>
    <w:rsid w:val="00CC3B30"/>
    <w:rsid w:val="00CC40A0"/>
    <w:rsid w:val="00CD622C"/>
    <w:rsid w:val="00D02E1D"/>
    <w:rsid w:val="00D14910"/>
    <w:rsid w:val="00D86B61"/>
    <w:rsid w:val="00D95AA4"/>
    <w:rsid w:val="00DC2E77"/>
    <w:rsid w:val="00E0281F"/>
    <w:rsid w:val="00F0696E"/>
    <w:rsid w:val="00F335AE"/>
    <w:rsid w:val="00F34757"/>
    <w:rsid w:val="00F53C08"/>
    <w:rsid w:val="00F9582F"/>
    <w:rsid w:val="00F96EF9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D4B3DA-517A-4BCD-B1A8-ACC3DE8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A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A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50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0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0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2nd Tier Header,Bullet List,Bullets before,Colorful List - Accent 11,Elenco Normale,FooterText,H1-1,Heading1,List Paragraph_0,N_List Paragraph,numbered,strich,Абзац с отступом,Абзац списка11,Абзац списка2,Перечисление,Список 1,маркированный"/>
    <w:basedOn w:val="a"/>
    <w:link w:val="aa"/>
    <w:uiPriority w:val="34"/>
    <w:qFormat/>
    <w:rsid w:val="00507BD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Абзац списка Знак"/>
    <w:aliases w:val="2nd Tier Header Знак,Bullet List Знак,Bullets before Знак,Colorful List - Accent 11 Знак,Elenco Normale Знак,FooterText Знак,H1-1 Знак,Heading1 Знак,List Paragraph_0 Знак,N_List Paragraph Знак,numbered Знак,strich Знак,Список 1 Знак"/>
    <w:link w:val="a9"/>
    <w:uiPriority w:val="34"/>
    <w:locked/>
    <w:rsid w:val="00507BD6"/>
    <w:rPr>
      <w:rFonts w:ascii="Times New Roman" w:eastAsia="Calibri" w:hAnsi="Times New Roman" w:cs="Times New Roman"/>
      <w:sz w:val="28"/>
    </w:rPr>
  </w:style>
  <w:style w:type="paragraph" w:styleId="ab">
    <w:name w:val="No Spacing"/>
    <w:uiPriority w:val="1"/>
    <w:qFormat/>
    <w:rsid w:val="009715A5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8F353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F6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Жумадилов Демесин Ермуратович</dc:creator>
  <cp:keywords/>
  <dc:description/>
  <cp:lastModifiedBy>Малицкая Анель</cp:lastModifiedBy>
  <cp:revision>13</cp:revision>
  <cp:lastPrinted>2023-05-16T02:45:00Z</cp:lastPrinted>
  <dcterms:created xsi:type="dcterms:W3CDTF">2023-05-15T14:37:00Z</dcterms:created>
  <dcterms:modified xsi:type="dcterms:W3CDTF">2024-06-26T12:19:00Z</dcterms:modified>
</cp:coreProperties>
</file>