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13" w:rsidRDefault="00555413" w:rsidP="0068584A">
      <w:pPr>
        <w:widowControl w:val="0"/>
        <w:ind w:left="5245"/>
        <w:jc w:val="center"/>
        <w:rPr>
          <w:b/>
          <w:sz w:val="28"/>
          <w:szCs w:val="28"/>
        </w:rPr>
      </w:pPr>
    </w:p>
    <w:p w:rsidR="00555413" w:rsidRDefault="00555413" w:rsidP="0068584A">
      <w:pPr>
        <w:widowControl w:val="0"/>
        <w:ind w:left="5245"/>
        <w:jc w:val="center"/>
        <w:rPr>
          <w:b/>
          <w:sz w:val="28"/>
          <w:szCs w:val="28"/>
        </w:rPr>
      </w:pPr>
    </w:p>
    <w:p w:rsidR="0068584A" w:rsidRPr="00F21593" w:rsidRDefault="0068584A" w:rsidP="0068584A">
      <w:pPr>
        <w:widowControl w:val="0"/>
        <w:ind w:left="5245"/>
        <w:jc w:val="center"/>
        <w:rPr>
          <w:b/>
          <w:sz w:val="28"/>
          <w:szCs w:val="28"/>
        </w:rPr>
      </w:pPr>
      <w:r w:rsidRPr="00F21593">
        <w:rPr>
          <w:b/>
          <w:sz w:val="28"/>
          <w:szCs w:val="28"/>
        </w:rPr>
        <w:t xml:space="preserve">Депутатам </w:t>
      </w:r>
    </w:p>
    <w:p w:rsidR="0068584A" w:rsidRPr="00F21593" w:rsidRDefault="0068584A" w:rsidP="0068584A">
      <w:pPr>
        <w:widowControl w:val="0"/>
        <w:ind w:left="5245"/>
        <w:jc w:val="center"/>
        <w:rPr>
          <w:b/>
          <w:sz w:val="28"/>
          <w:szCs w:val="28"/>
        </w:rPr>
      </w:pPr>
      <w:r w:rsidRPr="00F21593">
        <w:rPr>
          <w:b/>
          <w:sz w:val="28"/>
          <w:szCs w:val="28"/>
        </w:rPr>
        <w:t>Мажилиса Парламента Республики Казахстан</w:t>
      </w:r>
    </w:p>
    <w:p w:rsidR="00792ED6" w:rsidRPr="00F21593" w:rsidRDefault="0068584A" w:rsidP="0068584A">
      <w:pPr>
        <w:widowControl w:val="0"/>
        <w:ind w:left="5245"/>
        <w:jc w:val="center"/>
        <w:rPr>
          <w:sz w:val="28"/>
          <w:szCs w:val="28"/>
        </w:rPr>
      </w:pPr>
      <w:r w:rsidRPr="00F21593">
        <w:rPr>
          <w:sz w:val="28"/>
          <w:szCs w:val="28"/>
        </w:rPr>
        <w:t>(по списку)</w:t>
      </w:r>
    </w:p>
    <w:p w:rsidR="00792ED6" w:rsidRPr="00705C44" w:rsidRDefault="00792ED6" w:rsidP="00792ED6">
      <w:pPr>
        <w:widowControl w:val="0"/>
        <w:ind w:left="5245"/>
        <w:jc w:val="center"/>
        <w:rPr>
          <w:sz w:val="28"/>
        </w:rPr>
      </w:pPr>
    </w:p>
    <w:p w:rsidR="0068584A" w:rsidRPr="00F21593" w:rsidRDefault="0068584A" w:rsidP="0068584A">
      <w:pPr>
        <w:pStyle w:val="Default"/>
        <w:widowControl w:val="0"/>
        <w:tabs>
          <w:tab w:val="left" w:pos="567"/>
        </w:tabs>
        <w:ind w:right="-1"/>
        <w:jc w:val="left"/>
        <w:rPr>
          <w:rFonts w:eastAsia="Times New Roman"/>
          <w:i/>
          <w:color w:val="auto"/>
          <w:szCs w:val="28"/>
          <w:lang w:eastAsia="ru-RU"/>
        </w:rPr>
      </w:pPr>
      <w:r w:rsidRPr="00F21593">
        <w:rPr>
          <w:rFonts w:eastAsia="Times New Roman"/>
          <w:i/>
          <w:color w:val="auto"/>
          <w:szCs w:val="28"/>
          <w:lang w:eastAsia="ru-RU"/>
        </w:rPr>
        <w:t xml:space="preserve">На запрос от 14 </w:t>
      </w:r>
      <w:r w:rsidR="003E5EAC" w:rsidRPr="00F21593">
        <w:rPr>
          <w:rFonts w:eastAsia="Times New Roman"/>
          <w:i/>
          <w:color w:val="auto"/>
          <w:szCs w:val="28"/>
          <w:lang w:eastAsia="ru-RU"/>
        </w:rPr>
        <w:t>февраля</w:t>
      </w:r>
      <w:r w:rsidRPr="00F21593">
        <w:rPr>
          <w:rFonts w:eastAsia="Times New Roman"/>
          <w:i/>
          <w:color w:val="auto"/>
          <w:szCs w:val="28"/>
          <w:lang w:eastAsia="ru-RU"/>
        </w:rPr>
        <w:t xml:space="preserve"> 202</w:t>
      </w:r>
      <w:r w:rsidR="003E5EAC" w:rsidRPr="00F21593">
        <w:rPr>
          <w:rFonts w:eastAsia="Times New Roman"/>
          <w:i/>
          <w:color w:val="auto"/>
          <w:szCs w:val="28"/>
          <w:lang w:eastAsia="ru-RU"/>
        </w:rPr>
        <w:t>4</w:t>
      </w:r>
      <w:r w:rsidRPr="00F21593">
        <w:rPr>
          <w:rFonts w:eastAsia="Times New Roman"/>
          <w:i/>
          <w:color w:val="auto"/>
          <w:szCs w:val="28"/>
          <w:lang w:eastAsia="ru-RU"/>
        </w:rPr>
        <w:t xml:space="preserve"> года</w:t>
      </w:r>
    </w:p>
    <w:p w:rsidR="0068584A" w:rsidRPr="00F21593" w:rsidRDefault="0068584A" w:rsidP="0068584A">
      <w:pPr>
        <w:pStyle w:val="Default"/>
        <w:widowControl w:val="0"/>
        <w:tabs>
          <w:tab w:val="left" w:pos="567"/>
        </w:tabs>
        <w:ind w:right="-1"/>
        <w:jc w:val="left"/>
        <w:rPr>
          <w:rFonts w:eastAsia="Times New Roman"/>
          <w:i/>
          <w:color w:val="auto"/>
          <w:szCs w:val="28"/>
          <w:lang w:eastAsia="ru-RU"/>
        </w:rPr>
      </w:pPr>
      <w:r w:rsidRPr="00F21593">
        <w:rPr>
          <w:rFonts w:eastAsia="Times New Roman"/>
          <w:i/>
          <w:color w:val="auto"/>
          <w:szCs w:val="28"/>
          <w:lang w:eastAsia="ru-RU"/>
        </w:rPr>
        <w:t>№</w:t>
      </w:r>
      <w:r w:rsidR="003E5EAC" w:rsidRPr="00F21593">
        <w:rPr>
          <w:rFonts w:eastAsia="Times New Roman"/>
          <w:i/>
          <w:color w:val="auto"/>
          <w:szCs w:val="28"/>
          <w:lang w:eastAsia="ru-RU"/>
        </w:rPr>
        <w:t>Д</w:t>
      </w:r>
      <w:r w:rsidRPr="00F21593">
        <w:rPr>
          <w:rFonts w:eastAsia="Times New Roman"/>
          <w:i/>
          <w:color w:val="auto"/>
          <w:szCs w:val="28"/>
          <w:lang w:eastAsia="ru-RU"/>
        </w:rPr>
        <w:t>С</w:t>
      </w:r>
      <w:r w:rsidR="003E5EAC" w:rsidRPr="00F21593">
        <w:rPr>
          <w:rFonts w:eastAsia="Times New Roman"/>
          <w:i/>
          <w:color w:val="auto"/>
          <w:szCs w:val="28"/>
          <w:lang w:eastAsia="ru-RU"/>
        </w:rPr>
        <w:t>-61</w:t>
      </w:r>
    </w:p>
    <w:p w:rsidR="0068584A" w:rsidRPr="00705C44" w:rsidRDefault="0068584A" w:rsidP="0068584A">
      <w:pPr>
        <w:widowControl w:val="0"/>
        <w:jc w:val="right"/>
        <w:rPr>
          <w:i/>
          <w:sz w:val="28"/>
          <w:szCs w:val="28"/>
        </w:rPr>
      </w:pPr>
    </w:p>
    <w:p w:rsidR="0068584A" w:rsidRPr="00F21593" w:rsidRDefault="0068584A" w:rsidP="0068584A">
      <w:pPr>
        <w:widowControl w:val="0"/>
        <w:jc w:val="center"/>
        <w:rPr>
          <w:rFonts w:eastAsia="Calibri"/>
          <w:b/>
          <w:bCs/>
          <w:color w:val="000000"/>
          <w:sz w:val="28"/>
          <w:szCs w:val="28"/>
          <w:lang w:eastAsia="en-US"/>
        </w:rPr>
      </w:pPr>
      <w:r w:rsidRPr="00F21593">
        <w:rPr>
          <w:rFonts w:eastAsia="Calibri"/>
          <w:b/>
          <w:bCs/>
          <w:color w:val="000000"/>
          <w:sz w:val="28"/>
          <w:szCs w:val="28"/>
          <w:lang w:eastAsia="en-US"/>
        </w:rPr>
        <w:t>Уважаемые депутаты!</w:t>
      </w:r>
    </w:p>
    <w:p w:rsidR="00792ED6" w:rsidRPr="00F21593" w:rsidRDefault="00792ED6" w:rsidP="00792ED6">
      <w:pPr>
        <w:widowControl w:val="0"/>
        <w:jc w:val="center"/>
        <w:rPr>
          <w:b/>
          <w:sz w:val="28"/>
          <w:szCs w:val="28"/>
        </w:rPr>
      </w:pPr>
    </w:p>
    <w:p w:rsidR="00792ED6" w:rsidRPr="00F21593" w:rsidRDefault="00792ED6" w:rsidP="00792ED6">
      <w:pPr>
        <w:widowControl w:val="0"/>
        <w:jc w:val="center"/>
        <w:rPr>
          <w:sz w:val="28"/>
          <w:szCs w:val="28"/>
        </w:rPr>
      </w:pPr>
    </w:p>
    <w:p w:rsidR="00F21593" w:rsidRPr="00F21593" w:rsidRDefault="00F21593" w:rsidP="0053540F">
      <w:pPr>
        <w:widowControl w:val="0"/>
        <w:ind w:firstLine="709"/>
        <w:jc w:val="both"/>
        <w:rPr>
          <w:sz w:val="28"/>
          <w:szCs w:val="28"/>
        </w:rPr>
      </w:pPr>
      <w:r w:rsidRPr="00F21593">
        <w:rPr>
          <w:sz w:val="28"/>
          <w:szCs w:val="28"/>
        </w:rPr>
        <w:t>Рассмотрев Ваш депутатский запрос, сообщаю следующее.</w:t>
      </w:r>
    </w:p>
    <w:p w:rsidR="00F21593" w:rsidRPr="00F21593" w:rsidRDefault="00F21593" w:rsidP="0053540F">
      <w:pPr>
        <w:ind w:firstLine="709"/>
        <w:jc w:val="both"/>
        <w:rPr>
          <w:i/>
          <w:sz w:val="28"/>
          <w:szCs w:val="28"/>
        </w:rPr>
      </w:pPr>
      <w:r w:rsidRPr="00F21593">
        <w:rPr>
          <w:i/>
          <w:sz w:val="28"/>
          <w:szCs w:val="28"/>
        </w:rPr>
        <w:t>Касательно вопросов определения объемов субвенции и трансфертов</w:t>
      </w:r>
    </w:p>
    <w:p w:rsidR="00F21593" w:rsidRPr="00F21593" w:rsidRDefault="00F21593" w:rsidP="0053540F">
      <w:pPr>
        <w:ind w:right="74" w:firstLine="709"/>
        <w:jc w:val="both"/>
        <w:rPr>
          <w:rFonts w:eastAsia="Calibri"/>
          <w:sz w:val="28"/>
        </w:rPr>
      </w:pPr>
      <w:r w:rsidRPr="00F21593">
        <w:rPr>
          <w:rFonts w:eastAsia="Calibri"/>
          <w:sz w:val="28"/>
        </w:rPr>
        <w:t xml:space="preserve">Согласно пункту 6 статьи 45 Бюджетного кодекса при определении трансфертов (субвенции и изъятий) общего характера </w:t>
      </w:r>
      <w:r w:rsidRPr="00F21593">
        <w:rPr>
          <w:rFonts w:eastAsia="Calibri"/>
          <w:i/>
        </w:rPr>
        <w:t>(далее – ТОХ)</w:t>
      </w:r>
      <w:r w:rsidRPr="00F21593">
        <w:rPr>
          <w:rFonts w:eastAsia="Calibri"/>
          <w:sz w:val="28"/>
        </w:rPr>
        <w:t xml:space="preserve"> учитываются налоговый потенциал региона, численность потребителей государственных услуг в регионе и факторы, влияющие на расходы по предоставлению государственных услуг в зависимости от специфики того или иного региона.</w:t>
      </w:r>
    </w:p>
    <w:p w:rsidR="00F21593" w:rsidRPr="00F21593" w:rsidRDefault="00F21593" w:rsidP="0053540F">
      <w:pPr>
        <w:ind w:right="74" w:firstLine="709"/>
        <w:jc w:val="both"/>
        <w:rPr>
          <w:rFonts w:eastAsia="Calibri"/>
          <w:spacing w:val="-4"/>
          <w:sz w:val="28"/>
        </w:rPr>
      </w:pPr>
      <w:r w:rsidRPr="00F21593">
        <w:rPr>
          <w:rFonts w:eastAsia="Calibri"/>
          <w:spacing w:val="-4"/>
          <w:sz w:val="28"/>
        </w:rPr>
        <w:t>Объемы ТОХ определяются как разница между прогнозными объемами доходов (за минусом трансфертов) и затрат соответствующего местного бюджета.</w:t>
      </w:r>
    </w:p>
    <w:p w:rsidR="00F21593" w:rsidRPr="00F21593" w:rsidRDefault="00F21593" w:rsidP="0053540F">
      <w:pPr>
        <w:ind w:right="74" w:firstLine="709"/>
        <w:jc w:val="both"/>
        <w:rPr>
          <w:rFonts w:eastAsia="Calibri"/>
          <w:sz w:val="28"/>
        </w:rPr>
      </w:pPr>
      <w:r w:rsidRPr="00F21593">
        <w:rPr>
          <w:rFonts w:eastAsia="Calibri"/>
          <w:sz w:val="28"/>
        </w:rPr>
        <w:t>Прогнозные объемы доходов и затрат бюджетов четвертого уровня рассчитываются самостоятельно местным уполномоченным органом по государственному планированию района (города областного значения) в порядке, определяемом местным исполнительным органом района (города областного значения).</w:t>
      </w:r>
    </w:p>
    <w:p w:rsidR="00F21593" w:rsidRPr="00F21593" w:rsidRDefault="00F21593" w:rsidP="0053540F">
      <w:pPr>
        <w:ind w:right="74" w:firstLine="709"/>
        <w:jc w:val="both"/>
        <w:rPr>
          <w:rFonts w:eastAsia="Calibri"/>
          <w:sz w:val="28"/>
        </w:rPr>
      </w:pPr>
      <w:r w:rsidRPr="00F21593">
        <w:rPr>
          <w:rFonts w:eastAsia="Calibri"/>
          <w:sz w:val="28"/>
        </w:rPr>
        <w:t>Объемы ТОХ между районным (города областного значения) бюджетом и бюджетами четвертого уровня устанавливаются ежегодно на скользящей основе на плановый период.</w:t>
      </w:r>
    </w:p>
    <w:p w:rsidR="00F21593" w:rsidRPr="00F21593" w:rsidRDefault="00F21593" w:rsidP="0053540F">
      <w:pPr>
        <w:ind w:right="74" w:firstLine="709"/>
        <w:jc w:val="both"/>
        <w:rPr>
          <w:rFonts w:eastAsia="Calibri"/>
          <w:sz w:val="28"/>
        </w:rPr>
      </w:pPr>
      <w:r w:rsidRPr="00F21593">
        <w:rPr>
          <w:rFonts w:eastAsia="Calibri"/>
          <w:sz w:val="28"/>
        </w:rPr>
        <w:t>Вместе с тем, в настоящее время в рамках нового Бюджетного кодекса предусматривается утверждение типовой методики расчета ТОХ для всех уровней бюджета.</w:t>
      </w:r>
    </w:p>
    <w:p w:rsidR="00705C44" w:rsidRDefault="00F21593" w:rsidP="0053540F">
      <w:pPr>
        <w:widowControl w:val="0"/>
        <w:tabs>
          <w:tab w:val="left" w:pos="0"/>
          <w:tab w:val="left" w:pos="993"/>
          <w:tab w:val="left" w:pos="1134"/>
        </w:tabs>
        <w:ind w:firstLine="709"/>
        <w:contextualSpacing/>
        <w:jc w:val="both"/>
        <w:rPr>
          <w:rFonts w:eastAsia="Calibri"/>
          <w:sz w:val="28"/>
          <w:szCs w:val="28"/>
        </w:rPr>
      </w:pPr>
      <w:r w:rsidRPr="00F21593">
        <w:rPr>
          <w:rFonts w:eastAsia="Calibri"/>
          <w:sz w:val="28"/>
          <w:szCs w:val="28"/>
        </w:rPr>
        <w:t>Приоритетом межбюджетных отношений является сокращение разрыва между регионами и поддержка менее обеспеченных по базовым услугам (благам) регионов.</w:t>
      </w:r>
    </w:p>
    <w:p w:rsidR="00F21593" w:rsidRPr="00F21593" w:rsidRDefault="00F21593" w:rsidP="0053540F">
      <w:pPr>
        <w:widowControl w:val="0"/>
        <w:tabs>
          <w:tab w:val="left" w:pos="0"/>
          <w:tab w:val="left" w:pos="993"/>
          <w:tab w:val="left" w:pos="1134"/>
        </w:tabs>
        <w:ind w:firstLine="709"/>
        <w:contextualSpacing/>
        <w:jc w:val="both"/>
        <w:rPr>
          <w:sz w:val="28"/>
          <w:szCs w:val="28"/>
        </w:rPr>
      </w:pPr>
      <w:r w:rsidRPr="00F21593">
        <w:rPr>
          <w:sz w:val="28"/>
          <w:szCs w:val="28"/>
        </w:rPr>
        <w:t>В дальнейшем, данную задачу по снижению дисбалансов в качестве уровня жизни регионов планируется решать через внедрение минимальных стандартов для использования при планировании бюджета.</w:t>
      </w:r>
    </w:p>
    <w:p w:rsidR="00F21593" w:rsidRPr="00F21593" w:rsidRDefault="00F21593" w:rsidP="0053540F">
      <w:pPr>
        <w:ind w:firstLine="709"/>
        <w:jc w:val="both"/>
        <w:rPr>
          <w:sz w:val="28"/>
          <w:szCs w:val="28"/>
        </w:rPr>
      </w:pPr>
      <w:r w:rsidRPr="00F21593">
        <w:rPr>
          <w:sz w:val="28"/>
          <w:szCs w:val="28"/>
        </w:rPr>
        <w:lastRenderedPageBreak/>
        <w:t>Для этого, в рамках нового Бюджетного кодекса внедряется понятие минимальных стандартов, заложена законодательная основа для планирования расходов бюджета с учетом минимальных стандартов (сетей) социальной, инженерно-коммуникационной, транспортной и иной инфраструктуры.</w:t>
      </w:r>
    </w:p>
    <w:p w:rsidR="00F21593" w:rsidRPr="00F21593" w:rsidRDefault="00F21593" w:rsidP="0053540F">
      <w:pPr>
        <w:widowControl w:val="0"/>
        <w:tabs>
          <w:tab w:val="left" w:pos="0"/>
        </w:tabs>
        <w:ind w:firstLine="709"/>
        <w:contextualSpacing/>
        <w:jc w:val="both"/>
        <w:rPr>
          <w:rFonts w:eastAsia="Calibri"/>
          <w:sz w:val="28"/>
          <w:szCs w:val="28"/>
        </w:rPr>
      </w:pPr>
      <w:r w:rsidRPr="00F21593">
        <w:rPr>
          <w:rFonts w:eastAsia="Calibri"/>
          <w:sz w:val="28"/>
          <w:szCs w:val="28"/>
        </w:rPr>
        <w:t xml:space="preserve">Соответствующие положения также включены в проект Строительного кодекса </w:t>
      </w:r>
      <w:r w:rsidRPr="00F21593">
        <w:rPr>
          <w:rFonts w:eastAsia="Calibri"/>
          <w:i/>
          <w:szCs w:val="28"/>
        </w:rPr>
        <w:t>(находится на рассмотрении в Мажилисе Парламента)</w:t>
      </w:r>
      <w:r w:rsidRPr="00F21593">
        <w:rPr>
          <w:rFonts w:eastAsia="Calibri"/>
          <w:sz w:val="28"/>
          <w:szCs w:val="28"/>
        </w:rPr>
        <w:t>.</w:t>
      </w:r>
    </w:p>
    <w:p w:rsidR="00F21593" w:rsidRPr="00F21593" w:rsidRDefault="00F21593" w:rsidP="0053540F">
      <w:pPr>
        <w:widowControl w:val="0"/>
        <w:tabs>
          <w:tab w:val="left" w:pos="0"/>
        </w:tabs>
        <w:ind w:firstLine="709"/>
        <w:contextualSpacing/>
        <w:jc w:val="both"/>
        <w:rPr>
          <w:rFonts w:eastAsia="Calibri"/>
          <w:sz w:val="28"/>
          <w:szCs w:val="28"/>
        </w:rPr>
      </w:pPr>
      <w:r w:rsidRPr="00F21593">
        <w:rPr>
          <w:rFonts w:eastAsia="Calibri"/>
          <w:sz w:val="28"/>
          <w:szCs w:val="28"/>
        </w:rPr>
        <w:t xml:space="preserve">При этом, в дальнейшем на республиканском уровне планируется финансирование только критически важных и проектов </w:t>
      </w:r>
      <w:proofErr w:type="spellStart"/>
      <w:r w:rsidRPr="00F21593">
        <w:rPr>
          <w:rFonts w:eastAsia="Calibri"/>
          <w:sz w:val="28"/>
          <w:szCs w:val="28"/>
        </w:rPr>
        <w:t>общестранового</w:t>
      </w:r>
      <w:proofErr w:type="spellEnd"/>
      <w:r w:rsidRPr="00F21593">
        <w:rPr>
          <w:rFonts w:eastAsia="Calibri"/>
          <w:sz w:val="28"/>
          <w:szCs w:val="28"/>
        </w:rPr>
        <w:t xml:space="preserve"> значения, а вся базовая инфраструктура будет финансироваться за счет средств местного бюджета </w:t>
      </w:r>
      <w:r w:rsidRPr="00F21593">
        <w:rPr>
          <w:rFonts w:eastAsia="Calibri"/>
          <w:i/>
          <w:szCs w:val="28"/>
        </w:rPr>
        <w:t>(все целевые трансферты будут переданы в расходы местного бюджета с повышением самостоятельности МИО)</w:t>
      </w:r>
      <w:r w:rsidRPr="00F21593">
        <w:rPr>
          <w:rFonts w:eastAsia="Calibri"/>
          <w:sz w:val="28"/>
          <w:szCs w:val="28"/>
        </w:rPr>
        <w:t>.</w:t>
      </w:r>
    </w:p>
    <w:p w:rsidR="00F21593" w:rsidRPr="00F21593" w:rsidRDefault="00F21593" w:rsidP="0053540F">
      <w:pPr>
        <w:ind w:firstLine="709"/>
        <w:jc w:val="both"/>
        <w:rPr>
          <w:sz w:val="28"/>
          <w:szCs w:val="28"/>
        </w:rPr>
      </w:pPr>
      <w:r w:rsidRPr="00F21593">
        <w:rPr>
          <w:sz w:val="28"/>
          <w:szCs w:val="28"/>
        </w:rPr>
        <w:t>В связи с чем, при формировании ТОХ на следующий трехлетний период затраты по бюджетным программам развития будут определяться с учетом утвержденных отраслевыми министерствами минимальных базовых нормативов (сетей) социальной, инженерно-коммуникационной, транспортной и иной инфраструктуры.</w:t>
      </w:r>
    </w:p>
    <w:p w:rsidR="00F21593" w:rsidRPr="00F21593" w:rsidRDefault="00F21593" w:rsidP="0053540F">
      <w:pPr>
        <w:ind w:firstLine="709"/>
        <w:jc w:val="both"/>
        <w:rPr>
          <w:sz w:val="28"/>
          <w:szCs w:val="28"/>
        </w:rPr>
      </w:pPr>
      <w:r w:rsidRPr="00F21593">
        <w:rPr>
          <w:sz w:val="28"/>
          <w:szCs w:val="28"/>
        </w:rPr>
        <w:t>С учетом этого, будет решаться вопрос финансирования базовой инфраструктуры на местном уровне и разрыв в их обеспеченности.</w:t>
      </w:r>
    </w:p>
    <w:p w:rsidR="00F21593" w:rsidRPr="00F21593" w:rsidRDefault="00F21593" w:rsidP="0053540F">
      <w:pPr>
        <w:ind w:firstLine="709"/>
        <w:jc w:val="both"/>
        <w:rPr>
          <w:i/>
          <w:sz w:val="28"/>
          <w:szCs w:val="28"/>
        </w:rPr>
      </w:pPr>
      <w:r w:rsidRPr="00F21593">
        <w:rPr>
          <w:i/>
          <w:sz w:val="28"/>
          <w:szCs w:val="28"/>
        </w:rPr>
        <w:t>Касательно вновь передаваемым видам налогов в бюджеты IV уровня</w:t>
      </w:r>
    </w:p>
    <w:p w:rsidR="00F21593" w:rsidRPr="00F21593" w:rsidRDefault="00F21593" w:rsidP="0053540F">
      <w:pPr>
        <w:ind w:firstLine="709"/>
        <w:jc w:val="both"/>
        <w:rPr>
          <w:sz w:val="28"/>
          <w:szCs w:val="28"/>
        </w:rPr>
      </w:pPr>
      <w:r w:rsidRPr="00F21593">
        <w:rPr>
          <w:sz w:val="28"/>
          <w:szCs w:val="28"/>
        </w:rPr>
        <w:t>В целях усиления финансовой самостоятельности и децентрализации местных бюджетов на постоянной основе ведется работа по предоставлению дополнительных поступлений в нижестоящие бюджеты.</w:t>
      </w:r>
    </w:p>
    <w:p w:rsidR="00F21593" w:rsidRPr="00F21593" w:rsidRDefault="00F21593" w:rsidP="0053540F">
      <w:pPr>
        <w:ind w:firstLine="709"/>
        <w:jc w:val="both"/>
        <w:rPr>
          <w:sz w:val="28"/>
          <w:szCs w:val="28"/>
        </w:rPr>
      </w:pPr>
      <w:r w:rsidRPr="00F21593">
        <w:rPr>
          <w:sz w:val="28"/>
          <w:szCs w:val="28"/>
        </w:rPr>
        <w:t>На сегодня, в рамках Концепции развития местного самоуправления для самостоятельности сельских округов передано 25 видов налогов и платежей,</w:t>
      </w:r>
      <w:r w:rsidRPr="00F21593">
        <w:rPr>
          <w:sz w:val="28"/>
          <w:szCs w:val="28"/>
        </w:rPr>
        <w:br/>
        <w:t xml:space="preserve">в том числе 8 налогов </w:t>
      </w:r>
      <w:r w:rsidRPr="00F21593">
        <w:rPr>
          <w:i/>
          <w:szCs w:val="28"/>
        </w:rPr>
        <w:t>(ИПН не облагаемый у источника выплаты, налог на имущество, землю, транспорт с физических и юридических лиц, плата за размещение наружной рекламы, ЕЗН, плата за пользование земельными участками)</w:t>
      </w:r>
      <w:r w:rsidRPr="00F21593">
        <w:rPr>
          <w:sz w:val="28"/>
          <w:szCs w:val="28"/>
        </w:rPr>
        <w:t xml:space="preserve"> и 17 неналоговых платежей.</w:t>
      </w:r>
    </w:p>
    <w:p w:rsidR="00F21593" w:rsidRPr="00F21593" w:rsidRDefault="00F21593" w:rsidP="0053540F">
      <w:pPr>
        <w:ind w:firstLine="709"/>
        <w:jc w:val="both"/>
        <w:rPr>
          <w:sz w:val="28"/>
          <w:szCs w:val="28"/>
        </w:rPr>
      </w:pPr>
      <w:r w:rsidRPr="00F21593">
        <w:rPr>
          <w:sz w:val="28"/>
          <w:szCs w:val="28"/>
        </w:rPr>
        <w:t xml:space="preserve">Из них, в 2022 году на IV уровень бюджета осуществлена передача поступлений по 4 платежам </w:t>
      </w:r>
      <w:r w:rsidRPr="00F21593">
        <w:rPr>
          <w:i/>
          <w:szCs w:val="28"/>
        </w:rPr>
        <w:t>(ЕЗН, плата за пользование земельными участками, поступления от продажи земельных участков и плата за продажу земельных участков)</w:t>
      </w:r>
      <w:r w:rsidRPr="00F21593">
        <w:rPr>
          <w:sz w:val="28"/>
          <w:szCs w:val="28"/>
        </w:rPr>
        <w:br/>
        <w:t>по которым по итогам 2023 года рост поступлений составил 15,9 млрд тенге.</w:t>
      </w:r>
    </w:p>
    <w:p w:rsidR="00F21593" w:rsidRPr="00F21593" w:rsidRDefault="00F21593" w:rsidP="0053540F">
      <w:pPr>
        <w:ind w:firstLine="709"/>
        <w:jc w:val="both"/>
        <w:rPr>
          <w:sz w:val="28"/>
          <w:szCs w:val="28"/>
        </w:rPr>
      </w:pPr>
      <w:r w:rsidRPr="00F21593">
        <w:rPr>
          <w:sz w:val="28"/>
          <w:szCs w:val="28"/>
        </w:rPr>
        <w:t>В целом, с 2018 года по 2023 год на IV уровень бюджета поступило</w:t>
      </w:r>
      <w:r w:rsidRPr="00F21593">
        <w:rPr>
          <w:sz w:val="28"/>
          <w:szCs w:val="28"/>
        </w:rPr>
        <w:br/>
      </w:r>
      <w:r w:rsidRPr="00F21593">
        <w:rPr>
          <w:i/>
          <w:szCs w:val="28"/>
        </w:rPr>
        <w:t>(по 3 категориям)</w:t>
      </w:r>
      <w:r w:rsidRPr="00F21593">
        <w:rPr>
          <w:sz w:val="28"/>
          <w:szCs w:val="28"/>
        </w:rPr>
        <w:t xml:space="preserve"> 241 млрд тенге, в </w:t>
      </w:r>
      <w:proofErr w:type="spellStart"/>
      <w:r w:rsidRPr="00F21593">
        <w:rPr>
          <w:sz w:val="28"/>
          <w:szCs w:val="28"/>
        </w:rPr>
        <w:t>т.ч</w:t>
      </w:r>
      <w:proofErr w:type="spellEnd"/>
      <w:r w:rsidRPr="00F21593">
        <w:rPr>
          <w:sz w:val="28"/>
          <w:szCs w:val="28"/>
        </w:rPr>
        <w:t>. за 2018 год – 32,2 млрд тенге, за 2019 год – 33,4 млрд тенге, за 2020 год – 33,7 млрд тенге, за 2021 год – 31,9 млрд тенге,</w:t>
      </w:r>
      <w:r w:rsidRPr="00F21593">
        <w:rPr>
          <w:sz w:val="28"/>
          <w:szCs w:val="28"/>
        </w:rPr>
        <w:br/>
        <w:t>за 2022 год – 42,1 млрд тенге и за 2023 год – 67,7 млрд тенге. То есть, в указанный период поступления увеличились на 110,3% с 32,2 млрд тенге до 67,7 млрд. тенге или порядка в 2 раза.</w:t>
      </w:r>
    </w:p>
    <w:p w:rsidR="00F21593" w:rsidRPr="00F21593" w:rsidRDefault="00F21593" w:rsidP="0053540F">
      <w:pPr>
        <w:ind w:firstLine="709"/>
        <w:jc w:val="both"/>
        <w:rPr>
          <w:sz w:val="28"/>
          <w:szCs w:val="28"/>
        </w:rPr>
      </w:pPr>
      <w:r w:rsidRPr="00F21593">
        <w:rPr>
          <w:sz w:val="28"/>
          <w:szCs w:val="28"/>
        </w:rPr>
        <w:t>По итогам 2023 года, по сравнению с 2022 годом темп роста по налогам составил 63% или поступило больше на 24,1 млрд тенге.</w:t>
      </w:r>
    </w:p>
    <w:p w:rsidR="00F21593" w:rsidRPr="00F21593" w:rsidRDefault="00F21593" w:rsidP="0053540F">
      <w:pPr>
        <w:ind w:firstLine="709"/>
        <w:jc w:val="both"/>
        <w:rPr>
          <w:sz w:val="28"/>
          <w:szCs w:val="28"/>
        </w:rPr>
      </w:pPr>
      <w:r w:rsidRPr="00F21593">
        <w:rPr>
          <w:sz w:val="28"/>
          <w:szCs w:val="28"/>
        </w:rPr>
        <w:t>При этом, в рамках проекта нового Бюджетного Кодекса предусмотрена передача из республиканского бюджета на IV уровень бюджета налога на добычу полезных ископаемых на общераспространенные полезные ископаемые, подземные воды и лечебные грязи.</w:t>
      </w:r>
    </w:p>
    <w:p w:rsidR="00F21593" w:rsidRPr="00F21593" w:rsidRDefault="00F21593" w:rsidP="0053540F">
      <w:pPr>
        <w:ind w:firstLine="709"/>
        <w:jc w:val="both"/>
        <w:rPr>
          <w:sz w:val="28"/>
          <w:szCs w:val="28"/>
        </w:rPr>
      </w:pPr>
      <w:r w:rsidRPr="00F21593">
        <w:rPr>
          <w:sz w:val="28"/>
          <w:szCs w:val="28"/>
        </w:rPr>
        <w:t xml:space="preserve">Указанные налоги будут перечисляться в бюджеты районов (городов областного значения), города районного значения, села, поселка, сельского округа </w:t>
      </w:r>
      <w:r w:rsidRPr="00F21593">
        <w:rPr>
          <w:i/>
          <w:szCs w:val="28"/>
        </w:rPr>
        <w:t>(согласно прогнозам порядка 15 млрд тенге)</w:t>
      </w:r>
      <w:r w:rsidR="00555413">
        <w:rPr>
          <w:sz w:val="28"/>
          <w:szCs w:val="28"/>
        </w:rPr>
        <w:t>.</w:t>
      </w:r>
    </w:p>
    <w:p w:rsidR="00F21593" w:rsidRPr="00F21593" w:rsidRDefault="00F21593" w:rsidP="0053540F">
      <w:pPr>
        <w:ind w:firstLine="709"/>
        <w:jc w:val="both"/>
        <w:rPr>
          <w:sz w:val="28"/>
          <w:szCs w:val="28"/>
        </w:rPr>
      </w:pPr>
      <w:r w:rsidRPr="00F21593">
        <w:rPr>
          <w:sz w:val="28"/>
          <w:szCs w:val="28"/>
        </w:rPr>
        <w:lastRenderedPageBreak/>
        <w:t xml:space="preserve">Также в бюджеты городов районного значения, сел, поселков, сельских округов будут переданы отчисления </w:t>
      </w:r>
      <w:proofErr w:type="spellStart"/>
      <w:r w:rsidRPr="00F21593">
        <w:rPr>
          <w:sz w:val="28"/>
          <w:szCs w:val="28"/>
        </w:rPr>
        <w:t>недропользователей</w:t>
      </w:r>
      <w:proofErr w:type="spellEnd"/>
      <w:r w:rsidRPr="00F21593">
        <w:rPr>
          <w:sz w:val="28"/>
          <w:szCs w:val="28"/>
        </w:rPr>
        <w:t xml:space="preserve"> на социально-экономическое развитие региона и развитие его инфраструктуры по нормативам распределения доходов, установленным </w:t>
      </w:r>
      <w:proofErr w:type="spellStart"/>
      <w:r w:rsidRPr="00F21593">
        <w:rPr>
          <w:sz w:val="28"/>
          <w:szCs w:val="28"/>
        </w:rPr>
        <w:t>маслихатом</w:t>
      </w:r>
      <w:proofErr w:type="spellEnd"/>
      <w:r w:rsidRPr="00F21593">
        <w:rPr>
          <w:sz w:val="28"/>
          <w:szCs w:val="28"/>
        </w:rPr>
        <w:t xml:space="preserve"> района (города областного значения).</w:t>
      </w:r>
    </w:p>
    <w:p w:rsidR="000B1D04" w:rsidRDefault="00F21593" w:rsidP="0053540F">
      <w:pPr>
        <w:ind w:firstLine="709"/>
        <w:jc w:val="both"/>
        <w:rPr>
          <w:sz w:val="28"/>
          <w:szCs w:val="28"/>
        </w:rPr>
      </w:pPr>
      <w:r w:rsidRPr="00F21593">
        <w:rPr>
          <w:sz w:val="28"/>
          <w:szCs w:val="28"/>
        </w:rPr>
        <w:t>Кроме того, на IV уровень бюджета предлагается передать следующие виды налогов</w:t>
      </w:r>
      <w:r w:rsidRPr="000B1D04">
        <w:rPr>
          <w:sz w:val="28"/>
          <w:szCs w:val="28"/>
        </w:rPr>
        <w:t xml:space="preserve">: плата за пользование водными ресурсами, лицензионный сбор за право занятия отдельными видами деятельности, плата за пользование лицензиями на занятие отдельными видами деятельности, часть налога на имущество юридических лиц, индивидуальных предпринимателей по нормативам распределения доходов, определяемая соответствующим </w:t>
      </w:r>
      <w:proofErr w:type="spellStart"/>
      <w:r w:rsidRPr="000B1D04">
        <w:rPr>
          <w:sz w:val="28"/>
          <w:szCs w:val="28"/>
        </w:rPr>
        <w:t>маслихатом</w:t>
      </w:r>
      <w:proofErr w:type="spellEnd"/>
      <w:r w:rsidRPr="000B1D04">
        <w:rPr>
          <w:sz w:val="28"/>
          <w:szCs w:val="28"/>
        </w:rPr>
        <w:t>.</w:t>
      </w:r>
    </w:p>
    <w:p w:rsidR="00F21593" w:rsidRPr="00F21593" w:rsidRDefault="00F21593" w:rsidP="0053540F">
      <w:pPr>
        <w:ind w:firstLine="709"/>
        <w:jc w:val="both"/>
        <w:rPr>
          <w:sz w:val="28"/>
          <w:szCs w:val="28"/>
        </w:rPr>
      </w:pPr>
      <w:r w:rsidRPr="00F21593">
        <w:rPr>
          <w:sz w:val="28"/>
          <w:szCs w:val="28"/>
        </w:rPr>
        <w:t xml:space="preserve">Согласно прогнозам Министерства финансов РК, поступления в бюджеты сельских округов по указанным видам платежей ежегодно составят порядка </w:t>
      </w:r>
      <w:r w:rsidR="000B1D04">
        <w:rPr>
          <w:sz w:val="28"/>
          <w:szCs w:val="28"/>
        </w:rPr>
        <w:br/>
      </w:r>
      <w:r w:rsidRPr="00F21593">
        <w:rPr>
          <w:sz w:val="28"/>
          <w:szCs w:val="28"/>
        </w:rPr>
        <w:t>100 млрд тенге.</w:t>
      </w:r>
    </w:p>
    <w:p w:rsidR="00F21593" w:rsidRPr="00F21593" w:rsidRDefault="00F21593" w:rsidP="0053540F">
      <w:pPr>
        <w:ind w:firstLine="709"/>
        <w:jc w:val="both"/>
        <w:rPr>
          <w:sz w:val="28"/>
          <w:szCs w:val="28"/>
        </w:rPr>
      </w:pPr>
      <w:r w:rsidRPr="00F21593">
        <w:rPr>
          <w:sz w:val="28"/>
          <w:szCs w:val="28"/>
        </w:rPr>
        <w:t>В дальнейшем, исходя из экономической ситуации совместно с государственными органами и членами соответствующей рабочей группы,</w:t>
      </w:r>
      <w:r w:rsidRPr="00F21593">
        <w:rPr>
          <w:sz w:val="28"/>
          <w:szCs w:val="28"/>
        </w:rPr>
        <w:br/>
        <w:t>а также депутатами фракции партии «</w:t>
      </w:r>
      <w:proofErr w:type="spellStart"/>
      <w:r w:rsidRPr="00F21593">
        <w:rPr>
          <w:sz w:val="28"/>
          <w:szCs w:val="28"/>
        </w:rPr>
        <w:t>Ауыл</w:t>
      </w:r>
      <w:proofErr w:type="spellEnd"/>
      <w:r w:rsidRPr="00F21593">
        <w:rPr>
          <w:sz w:val="28"/>
          <w:szCs w:val="28"/>
        </w:rPr>
        <w:t>» в Парламенте РК будут разработаны и рассмотрены дополнительные источники пополнения сельского бюджета.</w:t>
      </w:r>
    </w:p>
    <w:p w:rsidR="00F21593" w:rsidRPr="00F21593" w:rsidRDefault="00F21593" w:rsidP="0053540F">
      <w:pPr>
        <w:ind w:firstLine="709"/>
        <w:jc w:val="both"/>
        <w:rPr>
          <w:i/>
          <w:sz w:val="28"/>
          <w:szCs w:val="28"/>
        </w:rPr>
      </w:pPr>
      <w:r w:rsidRPr="00F21593">
        <w:rPr>
          <w:i/>
          <w:sz w:val="28"/>
          <w:szCs w:val="28"/>
        </w:rPr>
        <w:t>Касательно проведения в 2026 году статистического анализа источников налоговых поступлений в бюджет сельского округа и их плательщиков</w:t>
      </w:r>
    </w:p>
    <w:p w:rsidR="00F21593" w:rsidRPr="00F21593" w:rsidRDefault="00F21593" w:rsidP="0053540F">
      <w:pPr>
        <w:ind w:firstLine="709"/>
        <w:jc w:val="both"/>
        <w:rPr>
          <w:sz w:val="28"/>
          <w:szCs w:val="28"/>
        </w:rPr>
      </w:pPr>
      <w:r w:rsidRPr="00F21593">
        <w:rPr>
          <w:sz w:val="28"/>
          <w:szCs w:val="28"/>
        </w:rPr>
        <w:t>На сегодняшний день, действующим законодательством не предусматривается утверждение методики анализа поступлений IV уровня бюджета.</w:t>
      </w:r>
    </w:p>
    <w:p w:rsidR="00792ED6" w:rsidRPr="00F21593" w:rsidRDefault="00F21593" w:rsidP="0053540F">
      <w:pPr>
        <w:ind w:firstLine="709"/>
        <w:jc w:val="both"/>
        <w:rPr>
          <w:i/>
          <w:sz w:val="28"/>
          <w:szCs w:val="28"/>
        </w:rPr>
      </w:pPr>
      <w:r w:rsidRPr="00F21593">
        <w:rPr>
          <w:sz w:val="28"/>
          <w:szCs w:val="28"/>
        </w:rPr>
        <w:t>Однако, выражаем готовность проведения такого анализа совместно</w:t>
      </w:r>
      <w:r w:rsidRPr="00F21593">
        <w:rPr>
          <w:sz w:val="28"/>
          <w:szCs w:val="28"/>
        </w:rPr>
        <w:br/>
        <w:t>с соответствующими центральными и местными государственными органами,</w:t>
      </w:r>
      <w:r w:rsidRPr="00F21593">
        <w:rPr>
          <w:sz w:val="28"/>
          <w:szCs w:val="28"/>
        </w:rPr>
        <w:br/>
        <w:t>а также депутатами Парламента в 2026 году.</w:t>
      </w:r>
    </w:p>
    <w:p w:rsidR="00792ED6" w:rsidRPr="00F21593" w:rsidRDefault="00792ED6" w:rsidP="00792ED6">
      <w:pPr>
        <w:ind w:firstLine="708"/>
        <w:jc w:val="both"/>
        <w:rPr>
          <w:sz w:val="28"/>
          <w:szCs w:val="28"/>
        </w:rPr>
      </w:pPr>
    </w:p>
    <w:p w:rsidR="00792ED6" w:rsidRPr="00F21593" w:rsidRDefault="00792ED6" w:rsidP="00792ED6">
      <w:pPr>
        <w:ind w:firstLine="708"/>
        <w:jc w:val="both"/>
        <w:rPr>
          <w:sz w:val="28"/>
          <w:szCs w:val="28"/>
        </w:rPr>
      </w:pPr>
    </w:p>
    <w:p w:rsidR="00792ED6" w:rsidRPr="00F21593" w:rsidRDefault="00792ED6" w:rsidP="00792ED6">
      <w:pPr>
        <w:widowControl w:val="0"/>
        <w:pBdr>
          <w:bottom w:val="single" w:sz="4" w:space="31" w:color="FFFFFF"/>
        </w:pBdr>
        <w:tabs>
          <w:tab w:val="left" w:pos="0"/>
        </w:tabs>
        <w:contextualSpacing/>
        <w:jc w:val="both"/>
        <w:rPr>
          <w:b/>
          <w:sz w:val="28"/>
          <w:szCs w:val="28"/>
        </w:rPr>
      </w:pPr>
      <w:r w:rsidRPr="00F21593">
        <w:rPr>
          <w:b/>
          <w:sz w:val="28"/>
          <w:szCs w:val="28"/>
        </w:rPr>
        <w:tab/>
      </w:r>
      <w:r w:rsidRPr="00F21593">
        <w:rPr>
          <w:b/>
          <w:sz w:val="28"/>
          <w:szCs w:val="28"/>
        </w:rPr>
        <w:tab/>
      </w:r>
      <w:r w:rsidRPr="00F21593">
        <w:rPr>
          <w:b/>
          <w:sz w:val="28"/>
          <w:szCs w:val="28"/>
        </w:rPr>
        <w:tab/>
      </w:r>
      <w:r w:rsidRPr="00F21593">
        <w:rPr>
          <w:b/>
          <w:sz w:val="28"/>
          <w:szCs w:val="28"/>
        </w:rPr>
        <w:tab/>
      </w:r>
      <w:r w:rsidRPr="00F21593">
        <w:rPr>
          <w:b/>
          <w:sz w:val="28"/>
          <w:szCs w:val="28"/>
        </w:rPr>
        <w:tab/>
      </w:r>
      <w:r w:rsidRPr="00F21593">
        <w:rPr>
          <w:b/>
          <w:sz w:val="28"/>
          <w:szCs w:val="28"/>
        </w:rPr>
        <w:tab/>
      </w:r>
      <w:r w:rsidRPr="00F21593">
        <w:rPr>
          <w:b/>
          <w:sz w:val="28"/>
          <w:szCs w:val="28"/>
        </w:rPr>
        <w:tab/>
      </w:r>
      <w:r w:rsidRPr="00F21593">
        <w:rPr>
          <w:b/>
          <w:sz w:val="28"/>
          <w:szCs w:val="28"/>
        </w:rPr>
        <w:tab/>
      </w:r>
      <w:r w:rsidRPr="00F21593">
        <w:rPr>
          <w:b/>
          <w:sz w:val="28"/>
          <w:szCs w:val="28"/>
        </w:rPr>
        <w:tab/>
      </w:r>
      <w:r w:rsidRPr="00F21593">
        <w:rPr>
          <w:b/>
          <w:sz w:val="28"/>
          <w:szCs w:val="28"/>
        </w:rPr>
        <w:tab/>
      </w:r>
      <w:r w:rsidRPr="00F21593">
        <w:rPr>
          <w:b/>
          <w:sz w:val="28"/>
          <w:szCs w:val="28"/>
        </w:rPr>
        <w:tab/>
      </w:r>
      <w:r w:rsidR="00FE230A" w:rsidRPr="00F21593">
        <w:rPr>
          <w:b/>
          <w:sz w:val="28"/>
          <w:szCs w:val="28"/>
        </w:rPr>
        <w:t>Н</w:t>
      </w:r>
      <w:r w:rsidRPr="00F21593">
        <w:rPr>
          <w:b/>
          <w:sz w:val="28"/>
          <w:szCs w:val="28"/>
        </w:rPr>
        <w:t xml:space="preserve">. </w:t>
      </w:r>
      <w:proofErr w:type="spellStart"/>
      <w:r w:rsidR="00FE230A" w:rsidRPr="00F21593">
        <w:rPr>
          <w:b/>
          <w:sz w:val="28"/>
          <w:szCs w:val="28"/>
        </w:rPr>
        <w:t>Байбазаро</w:t>
      </w:r>
      <w:r w:rsidRPr="00F21593">
        <w:rPr>
          <w:b/>
          <w:sz w:val="28"/>
          <w:szCs w:val="28"/>
        </w:rPr>
        <w:t>в</w:t>
      </w:r>
      <w:proofErr w:type="spellEnd"/>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Default="00792ED6" w:rsidP="00792ED6">
      <w:pPr>
        <w:widowControl w:val="0"/>
        <w:pBdr>
          <w:bottom w:val="single" w:sz="4" w:space="31" w:color="FFFFFF"/>
        </w:pBdr>
        <w:tabs>
          <w:tab w:val="left" w:pos="540"/>
          <w:tab w:val="left" w:pos="1276"/>
        </w:tabs>
        <w:contextualSpacing/>
        <w:jc w:val="both"/>
        <w:rPr>
          <w:sz w:val="16"/>
          <w:szCs w:val="16"/>
        </w:rPr>
      </w:pPr>
    </w:p>
    <w:p w:rsidR="00555413" w:rsidRDefault="00555413" w:rsidP="00792ED6">
      <w:pPr>
        <w:widowControl w:val="0"/>
        <w:pBdr>
          <w:bottom w:val="single" w:sz="4" w:space="31" w:color="FFFFFF"/>
        </w:pBdr>
        <w:tabs>
          <w:tab w:val="left" w:pos="540"/>
          <w:tab w:val="left" w:pos="1276"/>
        </w:tabs>
        <w:contextualSpacing/>
        <w:jc w:val="both"/>
        <w:rPr>
          <w:sz w:val="16"/>
          <w:szCs w:val="16"/>
        </w:rPr>
      </w:pPr>
    </w:p>
    <w:p w:rsidR="00555413" w:rsidRDefault="00555413" w:rsidP="00792ED6">
      <w:pPr>
        <w:widowControl w:val="0"/>
        <w:pBdr>
          <w:bottom w:val="single" w:sz="4" w:space="31" w:color="FFFFFF"/>
        </w:pBdr>
        <w:tabs>
          <w:tab w:val="left" w:pos="540"/>
          <w:tab w:val="left" w:pos="1276"/>
        </w:tabs>
        <w:contextualSpacing/>
        <w:jc w:val="both"/>
        <w:rPr>
          <w:sz w:val="16"/>
          <w:szCs w:val="16"/>
        </w:rPr>
      </w:pPr>
    </w:p>
    <w:p w:rsidR="00555413" w:rsidRDefault="00555413" w:rsidP="00792ED6">
      <w:pPr>
        <w:widowControl w:val="0"/>
        <w:pBdr>
          <w:bottom w:val="single" w:sz="4" w:space="31" w:color="FFFFFF"/>
        </w:pBdr>
        <w:tabs>
          <w:tab w:val="left" w:pos="540"/>
          <w:tab w:val="left" w:pos="1276"/>
        </w:tabs>
        <w:contextualSpacing/>
        <w:jc w:val="both"/>
        <w:rPr>
          <w:sz w:val="16"/>
          <w:szCs w:val="16"/>
        </w:rPr>
      </w:pPr>
    </w:p>
    <w:p w:rsidR="00555413" w:rsidRDefault="00555413" w:rsidP="00792ED6">
      <w:pPr>
        <w:widowControl w:val="0"/>
        <w:pBdr>
          <w:bottom w:val="single" w:sz="4" w:space="31" w:color="FFFFFF"/>
        </w:pBdr>
        <w:tabs>
          <w:tab w:val="left" w:pos="540"/>
          <w:tab w:val="left" w:pos="1276"/>
        </w:tabs>
        <w:contextualSpacing/>
        <w:jc w:val="both"/>
        <w:rPr>
          <w:sz w:val="16"/>
          <w:szCs w:val="16"/>
        </w:rPr>
      </w:pPr>
    </w:p>
    <w:p w:rsidR="00555413" w:rsidRDefault="00555413" w:rsidP="00792ED6">
      <w:pPr>
        <w:widowControl w:val="0"/>
        <w:pBdr>
          <w:bottom w:val="single" w:sz="4" w:space="31" w:color="FFFFFF"/>
        </w:pBdr>
        <w:tabs>
          <w:tab w:val="left" w:pos="540"/>
          <w:tab w:val="left" w:pos="1276"/>
        </w:tabs>
        <w:contextualSpacing/>
        <w:jc w:val="both"/>
        <w:rPr>
          <w:sz w:val="16"/>
          <w:szCs w:val="16"/>
        </w:rPr>
      </w:pPr>
    </w:p>
    <w:p w:rsidR="00555413" w:rsidRPr="00F21593" w:rsidRDefault="00555413" w:rsidP="00792ED6">
      <w:pPr>
        <w:widowControl w:val="0"/>
        <w:pBdr>
          <w:bottom w:val="single" w:sz="4" w:space="31" w:color="FFFFFF"/>
        </w:pBdr>
        <w:tabs>
          <w:tab w:val="left" w:pos="540"/>
          <w:tab w:val="left" w:pos="1276"/>
        </w:tabs>
        <w:contextualSpacing/>
        <w:jc w:val="both"/>
        <w:rPr>
          <w:sz w:val="16"/>
          <w:szCs w:val="16"/>
        </w:rPr>
      </w:pPr>
      <w:bookmarkStart w:id="0" w:name="_GoBack"/>
      <w:bookmarkEnd w:id="0"/>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792ED6" w:rsidRPr="00F21593" w:rsidRDefault="00792ED6" w:rsidP="00792ED6">
      <w:pPr>
        <w:widowControl w:val="0"/>
        <w:pBdr>
          <w:bottom w:val="single" w:sz="4" w:space="31" w:color="FFFFFF"/>
        </w:pBdr>
        <w:tabs>
          <w:tab w:val="left" w:pos="540"/>
          <w:tab w:val="left" w:pos="1276"/>
        </w:tabs>
        <w:contextualSpacing/>
        <w:jc w:val="both"/>
        <w:rPr>
          <w:sz w:val="16"/>
          <w:szCs w:val="16"/>
        </w:rPr>
      </w:pPr>
    </w:p>
    <w:p w:rsidR="00CD0420" w:rsidRPr="00F21593" w:rsidRDefault="00CD0420" w:rsidP="00217544">
      <w:pPr>
        <w:rPr>
          <w:i/>
          <w:sz w:val="16"/>
          <w:szCs w:val="16"/>
        </w:rPr>
      </w:pPr>
    </w:p>
    <w:p w:rsidR="00F21593" w:rsidRPr="00F21593" w:rsidRDefault="00F21593" w:rsidP="00217544">
      <w:pPr>
        <w:rPr>
          <w:i/>
          <w:sz w:val="16"/>
          <w:szCs w:val="16"/>
        </w:rPr>
      </w:pPr>
    </w:p>
    <w:p w:rsidR="00F21593" w:rsidRPr="00F21593" w:rsidRDefault="00F21593" w:rsidP="00217544">
      <w:pPr>
        <w:rPr>
          <w:i/>
          <w:sz w:val="16"/>
          <w:szCs w:val="16"/>
        </w:rPr>
      </w:pPr>
    </w:p>
    <w:p w:rsidR="00F21593" w:rsidRPr="00F21593" w:rsidRDefault="00F21593" w:rsidP="00F21593">
      <w:pPr>
        <w:widowControl w:val="0"/>
        <w:shd w:val="clear" w:color="auto" w:fill="FFFFFF"/>
        <w:rPr>
          <w:b/>
          <w:sz w:val="28"/>
          <w:szCs w:val="28"/>
        </w:rPr>
      </w:pPr>
      <w:r w:rsidRPr="00F21593">
        <w:rPr>
          <w:b/>
          <w:sz w:val="28"/>
          <w:szCs w:val="28"/>
        </w:rPr>
        <w:t xml:space="preserve">Список депутатов </w:t>
      </w:r>
      <w:r w:rsidR="00210A45">
        <w:rPr>
          <w:b/>
          <w:sz w:val="28"/>
          <w:szCs w:val="28"/>
        </w:rPr>
        <w:t>Мажилиса</w:t>
      </w:r>
      <w:r w:rsidRPr="00F21593">
        <w:rPr>
          <w:b/>
          <w:sz w:val="28"/>
          <w:szCs w:val="28"/>
        </w:rPr>
        <w:t xml:space="preserve"> Парламента: </w:t>
      </w:r>
    </w:p>
    <w:p w:rsidR="00F21593" w:rsidRPr="00F21593" w:rsidRDefault="00F21593" w:rsidP="00F21593">
      <w:pPr>
        <w:widowControl w:val="0"/>
        <w:shd w:val="clear" w:color="auto" w:fill="FFFFFF"/>
        <w:jc w:val="center"/>
        <w:rPr>
          <w:b/>
          <w:sz w:val="28"/>
          <w:szCs w:val="28"/>
        </w:rPr>
      </w:pPr>
    </w:p>
    <w:p w:rsidR="0053540F" w:rsidRDefault="0053540F" w:rsidP="00F21593">
      <w:pPr>
        <w:widowControl w:val="0"/>
        <w:autoSpaceDE w:val="0"/>
        <w:autoSpaceDN w:val="0"/>
        <w:adjustRightInd w:val="0"/>
        <w:rPr>
          <w:b/>
          <w:bCs/>
          <w:color w:val="000000"/>
          <w:sz w:val="28"/>
          <w:szCs w:val="28"/>
        </w:rPr>
      </w:pPr>
      <w:proofErr w:type="spellStart"/>
      <w:r>
        <w:rPr>
          <w:b/>
          <w:bCs/>
          <w:color w:val="000000"/>
          <w:sz w:val="28"/>
          <w:szCs w:val="28"/>
        </w:rPr>
        <w:t>Баккожаев</w:t>
      </w:r>
      <w:proofErr w:type="spellEnd"/>
      <w:r>
        <w:rPr>
          <w:b/>
          <w:bCs/>
          <w:color w:val="000000"/>
          <w:sz w:val="28"/>
          <w:szCs w:val="28"/>
        </w:rPr>
        <w:t xml:space="preserve"> А.</w:t>
      </w:r>
    </w:p>
    <w:p w:rsidR="0053540F" w:rsidRDefault="0053540F" w:rsidP="00F21593">
      <w:pPr>
        <w:widowControl w:val="0"/>
        <w:autoSpaceDE w:val="0"/>
        <w:autoSpaceDN w:val="0"/>
        <w:adjustRightInd w:val="0"/>
        <w:rPr>
          <w:b/>
          <w:bCs/>
          <w:color w:val="000000"/>
          <w:sz w:val="28"/>
          <w:szCs w:val="28"/>
        </w:rPr>
      </w:pPr>
      <w:proofErr w:type="spellStart"/>
      <w:r>
        <w:rPr>
          <w:b/>
          <w:bCs/>
          <w:color w:val="000000"/>
          <w:sz w:val="28"/>
          <w:szCs w:val="28"/>
        </w:rPr>
        <w:t>Егизбаев</w:t>
      </w:r>
      <w:proofErr w:type="spellEnd"/>
      <w:r>
        <w:rPr>
          <w:b/>
          <w:bCs/>
          <w:color w:val="000000"/>
          <w:sz w:val="28"/>
          <w:szCs w:val="28"/>
        </w:rPr>
        <w:t xml:space="preserve"> С.</w:t>
      </w:r>
    </w:p>
    <w:p w:rsidR="0053540F" w:rsidRDefault="0053540F" w:rsidP="00F21593">
      <w:pPr>
        <w:widowControl w:val="0"/>
        <w:autoSpaceDE w:val="0"/>
        <w:autoSpaceDN w:val="0"/>
        <w:adjustRightInd w:val="0"/>
        <w:rPr>
          <w:b/>
          <w:bCs/>
          <w:color w:val="000000"/>
          <w:sz w:val="28"/>
          <w:szCs w:val="28"/>
        </w:rPr>
      </w:pPr>
      <w:proofErr w:type="spellStart"/>
      <w:r>
        <w:rPr>
          <w:b/>
          <w:bCs/>
          <w:color w:val="000000"/>
          <w:sz w:val="28"/>
          <w:szCs w:val="28"/>
        </w:rPr>
        <w:t>Дайрабаев</w:t>
      </w:r>
      <w:proofErr w:type="spellEnd"/>
      <w:r>
        <w:rPr>
          <w:b/>
          <w:bCs/>
          <w:color w:val="000000"/>
          <w:sz w:val="28"/>
          <w:szCs w:val="28"/>
        </w:rPr>
        <w:t xml:space="preserve"> Ж.</w:t>
      </w:r>
    </w:p>
    <w:p w:rsidR="0053540F" w:rsidRDefault="0053540F" w:rsidP="00F21593">
      <w:pPr>
        <w:widowControl w:val="0"/>
        <w:autoSpaceDE w:val="0"/>
        <w:autoSpaceDN w:val="0"/>
        <w:adjustRightInd w:val="0"/>
        <w:rPr>
          <w:b/>
          <w:bCs/>
          <w:color w:val="000000"/>
          <w:sz w:val="28"/>
          <w:szCs w:val="28"/>
        </w:rPr>
      </w:pPr>
      <w:proofErr w:type="spellStart"/>
      <w:r>
        <w:rPr>
          <w:b/>
          <w:bCs/>
          <w:color w:val="000000"/>
          <w:sz w:val="28"/>
          <w:szCs w:val="28"/>
        </w:rPr>
        <w:t>Абден</w:t>
      </w:r>
      <w:proofErr w:type="spellEnd"/>
      <w:r>
        <w:rPr>
          <w:b/>
          <w:bCs/>
          <w:color w:val="000000"/>
          <w:sz w:val="28"/>
          <w:szCs w:val="28"/>
        </w:rPr>
        <w:t xml:space="preserve"> К.</w:t>
      </w:r>
    </w:p>
    <w:p w:rsidR="0053540F" w:rsidRDefault="0053540F" w:rsidP="00F21593">
      <w:pPr>
        <w:widowControl w:val="0"/>
        <w:autoSpaceDE w:val="0"/>
        <w:autoSpaceDN w:val="0"/>
        <w:adjustRightInd w:val="0"/>
        <w:rPr>
          <w:b/>
          <w:bCs/>
          <w:color w:val="000000"/>
          <w:sz w:val="28"/>
          <w:szCs w:val="28"/>
        </w:rPr>
      </w:pPr>
      <w:proofErr w:type="spellStart"/>
      <w:r>
        <w:rPr>
          <w:b/>
          <w:bCs/>
          <w:color w:val="000000"/>
          <w:sz w:val="28"/>
          <w:szCs w:val="28"/>
        </w:rPr>
        <w:t>Арсютин</w:t>
      </w:r>
      <w:proofErr w:type="spellEnd"/>
      <w:r>
        <w:rPr>
          <w:b/>
          <w:bCs/>
          <w:color w:val="000000"/>
          <w:sz w:val="28"/>
          <w:szCs w:val="28"/>
        </w:rPr>
        <w:t xml:space="preserve"> Н.</w:t>
      </w:r>
    </w:p>
    <w:p w:rsidR="0053540F" w:rsidRDefault="0053540F" w:rsidP="00F21593">
      <w:pPr>
        <w:widowControl w:val="0"/>
        <w:autoSpaceDE w:val="0"/>
        <w:autoSpaceDN w:val="0"/>
        <w:adjustRightInd w:val="0"/>
        <w:rPr>
          <w:b/>
          <w:bCs/>
          <w:color w:val="000000"/>
          <w:sz w:val="28"/>
          <w:szCs w:val="28"/>
        </w:rPr>
      </w:pPr>
      <w:proofErr w:type="spellStart"/>
      <w:r>
        <w:rPr>
          <w:b/>
          <w:bCs/>
          <w:color w:val="000000"/>
          <w:sz w:val="28"/>
          <w:szCs w:val="28"/>
        </w:rPr>
        <w:t>Зейнуллин</w:t>
      </w:r>
      <w:proofErr w:type="spellEnd"/>
      <w:r>
        <w:rPr>
          <w:b/>
          <w:bCs/>
          <w:color w:val="000000"/>
          <w:sz w:val="28"/>
          <w:szCs w:val="28"/>
        </w:rPr>
        <w:t xml:space="preserve"> А.</w:t>
      </w:r>
    </w:p>
    <w:p w:rsidR="0053540F" w:rsidRDefault="0053540F" w:rsidP="00F21593">
      <w:pPr>
        <w:widowControl w:val="0"/>
        <w:autoSpaceDE w:val="0"/>
        <w:autoSpaceDN w:val="0"/>
        <w:adjustRightInd w:val="0"/>
        <w:rPr>
          <w:b/>
          <w:bCs/>
          <w:color w:val="000000"/>
          <w:sz w:val="28"/>
          <w:szCs w:val="28"/>
        </w:rPr>
      </w:pPr>
      <w:proofErr w:type="spellStart"/>
      <w:r>
        <w:rPr>
          <w:b/>
          <w:bCs/>
          <w:color w:val="000000"/>
          <w:sz w:val="28"/>
          <w:szCs w:val="28"/>
        </w:rPr>
        <w:t>Саурыков</w:t>
      </w:r>
      <w:proofErr w:type="spellEnd"/>
      <w:r>
        <w:rPr>
          <w:b/>
          <w:bCs/>
          <w:color w:val="000000"/>
          <w:sz w:val="28"/>
          <w:szCs w:val="28"/>
        </w:rPr>
        <w:t xml:space="preserve"> Е.</w:t>
      </w:r>
    </w:p>
    <w:p w:rsidR="0053540F" w:rsidRPr="0053540F" w:rsidRDefault="0053540F" w:rsidP="00F21593">
      <w:pPr>
        <w:widowControl w:val="0"/>
        <w:autoSpaceDE w:val="0"/>
        <w:autoSpaceDN w:val="0"/>
        <w:adjustRightInd w:val="0"/>
        <w:rPr>
          <w:b/>
          <w:bCs/>
          <w:color w:val="000000"/>
          <w:sz w:val="28"/>
          <w:szCs w:val="28"/>
        </w:rPr>
      </w:pPr>
      <w:r>
        <w:rPr>
          <w:b/>
          <w:bCs/>
          <w:color w:val="000000"/>
          <w:sz w:val="28"/>
          <w:szCs w:val="28"/>
        </w:rPr>
        <w:t>Сериков Т.</w:t>
      </w:r>
    </w:p>
    <w:p w:rsidR="00F21593" w:rsidRPr="00F21593" w:rsidRDefault="00F21593" w:rsidP="00217544"/>
    <w:sectPr w:rsidR="00F21593" w:rsidRPr="00F21593" w:rsidSect="00555413">
      <w:headerReference w:type="default" r:id="rId6"/>
      <w:headerReference w:type="first" r:id="rId7"/>
      <w:pgSz w:w="11906" w:h="16838"/>
      <w:pgMar w:top="851" w:right="851" w:bottom="851"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94B" w:rsidRDefault="002E694B" w:rsidP="00F55F2E">
      <w:r>
        <w:separator/>
      </w:r>
    </w:p>
  </w:endnote>
  <w:endnote w:type="continuationSeparator" w:id="0">
    <w:p w:rsidR="002E694B" w:rsidRDefault="002E694B"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94B" w:rsidRDefault="002E694B" w:rsidP="00F55F2E">
      <w:r>
        <w:separator/>
      </w:r>
    </w:p>
  </w:footnote>
  <w:footnote w:type="continuationSeparator" w:id="0">
    <w:p w:rsidR="002E694B" w:rsidRDefault="002E694B" w:rsidP="00F5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69124"/>
      <w:docPartObj>
        <w:docPartGallery w:val="Page Numbers (Top of Page)"/>
        <w:docPartUnique/>
      </w:docPartObj>
    </w:sdtPr>
    <w:sdtEndPr/>
    <w:sdtContent>
      <w:p w:rsidR="00E57857" w:rsidRDefault="00210A45" w:rsidP="000B1D04">
        <w:pPr>
          <w:pStyle w:val="a5"/>
          <w:jc w:val="center"/>
        </w:pPr>
        <w:r>
          <w:fldChar w:fldCharType="begin"/>
        </w:r>
        <w:r>
          <w:instrText>PAGE   \* MERGEFORMAT</w:instrText>
        </w:r>
        <w:r>
          <w:fldChar w:fldCharType="separate"/>
        </w:r>
        <w:r w:rsidR="00234FE7">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44" w:rsidRDefault="00E57857" w:rsidP="00210A45">
    <w:pPr>
      <w:pStyle w:val="a5"/>
      <w:ind w:left="-426"/>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-317500</wp:posOffset>
              </wp:positionH>
              <wp:positionV relativeFrom="paragraph">
                <wp:posOffset>-317500</wp:posOffset>
              </wp:positionV>
              <wp:extent cx="2543175" cy="133350"/>
              <wp:effectExtent l="0" t="15240" r="6985" b="1333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3175" cy="133350"/>
                      </a:xfrm>
                      <a:prstGeom prst="rect">
                        <a:avLst/>
                      </a:prstGeom>
                      <a:extLst>
                        <a:ext uri="{AF507438-7753-43E0-B8FC-AC1667EBCBE1}">
                          <a14:hiddenEffects xmlns:a14="http://schemas.microsoft.com/office/drawing/2010/main">
                            <a:effectLst/>
                          </a14:hiddenEffects>
                        </a:ext>
                      </a:extLst>
                    </wps:spPr>
                    <wps:txbx>
                      <w:txbxContent>
                        <w:p w:rsidR="00E57857" w:rsidRDefault="00E57857" w:rsidP="00E57857">
                          <w:pPr>
                            <w:pStyle w:val="ab"/>
                            <w:spacing w:before="0" w:beforeAutospacing="0" w:after="0" w:afterAutospacing="0"/>
                            <w:jc w:val="center"/>
                          </w:pPr>
                          <w:r w:rsidRPr="0068584A">
                            <w:rPr>
                              <w:outline/>
                              <w:color w:val="000000"/>
                              <w:sz w:val="16"/>
                              <w:szCs w:val="16"/>
                              <w14:textOutline w14:w="9525" w14:cap="flat" w14:cmpd="sng" w14:algn="ctr">
                                <w14:solidFill>
                                  <w14:srgbClr w14:val="000000"/>
                                </w14:solidFill>
                                <w14:prstDash w14:val="solid"/>
                                <w14:round/>
                              </w14:textOutline>
                              <w14:textFill>
                                <w14:noFill/>
                              </w14:textFill>
                            </w:rPr>
                            <w:t xml:space="preserve"> Исх. №: 20-02/04-534//22-01-7.7 п. 5.2. от 27.01.2023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25pt;margin-top:-25pt;width:20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" filled="f" stroked="f">
              <o:lock v:ext="edit" shapetype="t"/>
              <v:textbox style="mso-fit-shape-to-text:t">
                <w:txbxContent>
                  <w:p w:rsidR="00E57857" w:rsidRDefault="00E57857" w:rsidP="00E57857">
                    <w:pPr>
                      <w:pStyle w:val="ab"/>
                      <w:spacing w:before="0" w:beforeAutospacing="0" w:after="0" w:afterAutospacing="0"/>
                      <w:jc w:val="center"/>
                    </w:pPr>
                    <w:r w:rsidRPr="0068584A">
                      <w:rPr>
                        <w:outline/>
                        <w:color w:val="000000"/>
                        <w:sz w:val="16"/>
                        <w:szCs w:val="16"/>
                        <w14:textOutline w14:w="9525" w14:cap="flat" w14:cmpd="sng" w14:algn="ctr">
                          <w14:solidFill>
                            <w14:srgbClr w14:val="000000"/>
                          </w14:solidFill>
                          <w14:prstDash w14:val="solid"/>
                          <w14:round/>
                        </w14:textOutline>
                        <w14:textFill>
                          <w14:noFill/>
                        </w14:textFill>
                      </w:rPr>
                      <w:t xml:space="preserve"> Исх. №: 20-02/04-534//22-01-7.7 п. 5.2. от 27.01.2023</w:t>
                    </w:r>
                  </w:p>
                </w:txbxContent>
              </v:textbox>
            </v:shape>
          </w:pict>
        </mc:Fallback>
      </mc:AlternateContent>
    </w:r>
    <w:r w:rsidR="003E0E42">
      <w:rPr>
        <w:noProof/>
      </w:rPr>
      <w:drawing>
        <wp:inline distT="0" distB="0" distL="0" distR="0">
          <wp:extent cx="6477000" cy="18954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678DE"/>
    <w:rsid w:val="000A2792"/>
    <w:rsid w:val="000B1D04"/>
    <w:rsid w:val="000D7342"/>
    <w:rsid w:val="00185AE4"/>
    <w:rsid w:val="00210A45"/>
    <w:rsid w:val="00217544"/>
    <w:rsid w:val="00234FE7"/>
    <w:rsid w:val="00276B71"/>
    <w:rsid w:val="00287F2E"/>
    <w:rsid w:val="00292BA2"/>
    <w:rsid w:val="002C13C5"/>
    <w:rsid w:val="002C499E"/>
    <w:rsid w:val="002E694B"/>
    <w:rsid w:val="0031618C"/>
    <w:rsid w:val="00346EDE"/>
    <w:rsid w:val="003E0E42"/>
    <w:rsid w:val="003E5EAC"/>
    <w:rsid w:val="003F12FE"/>
    <w:rsid w:val="004807D8"/>
    <w:rsid w:val="004E07EE"/>
    <w:rsid w:val="004E40F0"/>
    <w:rsid w:val="004E692A"/>
    <w:rsid w:val="0053529D"/>
    <w:rsid w:val="0053540F"/>
    <w:rsid w:val="00555413"/>
    <w:rsid w:val="0060514A"/>
    <w:rsid w:val="0068584A"/>
    <w:rsid w:val="0069207F"/>
    <w:rsid w:val="006E5D2F"/>
    <w:rsid w:val="006E7C0B"/>
    <w:rsid w:val="00705C44"/>
    <w:rsid w:val="00765281"/>
    <w:rsid w:val="00792ED6"/>
    <w:rsid w:val="007E237A"/>
    <w:rsid w:val="008342C2"/>
    <w:rsid w:val="008B59F1"/>
    <w:rsid w:val="008C668C"/>
    <w:rsid w:val="008F1A8B"/>
    <w:rsid w:val="009B44F3"/>
    <w:rsid w:val="00A40F19"/>
    <w:rsid w:val="00B558AA"/>
    <w:rsid w:val="00BE19C8"/>
    <w:rsid w:val="00CD0420"/>
    <w:rsid w:val="00CD0550"/>
    <w:rsid w:val="00CE111C"/>
    <w:rsid w:val="00D81F07"/>
    <w:rsid w:val="00D90060"/>
    <w:rsid w:val="00DF1E95"/>
    <w:rsid w:val="00E57857"/>
    <w:rsid w:val="00E6430C"/>
    <w:rsid w:val="00F02BE5"/>
    <w:rsid w:val="00F21593"/>
    <w:rsid w:val="00F55F2E"/>
    <w:rsid w:val="00FE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EE4B"/>
  <w15:docId w15:val="{931A5B09-0BED-45F9-A03D-32449254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E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character" w:customStyle="1" w:styleId="label">
    <w:name w:val="label"/>
    <w:rsid w:val="00792ED6"/>
    <w:rPr>
      <w:rFonts w:ascii="Tahoma" w:hAnsi="Tahoma" w:cs="Tahoma" w:hint="default"/>
      <w:sz w:val="18"/>
      <w:szCs w:val="18"/>
    </w:rPr>
  </w:style>
  <w:style w:type="paragraph" w:styleId="a9">
    <w:name w:val="No Spacing"/>
    <w:aliases w:val="Эльдар,Обя,мелкий,норма,No Spacing1,мой рабочий,МОЙ СТИЛЬ,Айгерим,свой,14 TNR,Без интервала11,Без интервала2,Без интеБез интервала,No Spacing11,Без интервала111,Елжан,Интервалсыз,No Spacing,Без интервала3,СНОСКИ,Алия,ТекстОтчета"/>
    <w:link w:val="aa"/>
    <w:uiPriority w:val="1"/>
    <w:qFormat/>
    <w:rsid w:val="00792ED6"/>
    <w:pPr>
      <w:spacing w:after="0" w:line="240" w:lineRule="auto"/>
    </w:pPr>
    <w:rPr>
      <w:rFonts w:ascii="Calibri" w:eastAsia="Calibri" w:hAnsi="Calibri" w:cs="Times New Roman"/>
    </w:rPr>
  </w:style>
  <w:style w:type="character" w:customStyle="1" w:styleId="aa">
    <w:name w:val="Без интервала Знак"/>
    <w:aliases w:val="Эльдар Знак,Обя Знак,мелкий Знак,норма Знак,No Spacing1 Знак,мой рабочий Знак,МОЙ СТИЛЬ Знак,Айгерим Знак,свой Знак,14 TNR Знак,Без интервала11 Знак,Без интервала2 Знак,Без интеБез интервала Знак,No Spacing11 Знак,Елжан Знак,Алия Знак"/>
    <w:link w:val="a9"/>
    <w:uiPriority w:val="1"/>
    <w:locked/>
    <w:rsid w:val="00792ED6"/>
    <w:rPr>
      <w:rFonts w:ascii="Calibri" w:eastAsia="Calibri" w:hAnsi="Calibri" w:cs="Times New Roman"/>
    </w:rPr>
  </w:style>
  <w:style w:type="paragraph" w:styleId="ab">
    <w:name w:val="Normal (Web)"/>
    <w:basedOn w:val="a"/>
    <w:uiPriority w:val="99"/>
    <w:semiHidden/>
    <w:unhideWhenUsed/>
    <w:rsid w:val="00E57857"/>
    <w:pPr>
      <w:spacing w:before="100" w:beforeAutospacing="1" w:after="100" w:afterAutospacing="1"/>
    </w:pPr>
    <w:rPr>
      <w:rFonts w:eastAsiaTheme="minorEastAsia"/>
    </w:rPr>
  </w:style>
  <w:style w:type="paragraph" w:customStyle="1" w:styleId="Default">
    <w:name w:val="Default"/>
    <w:rsid w:val="0068584A"/>
    <w:pPr>
      <w:autoSpaceDE w:val="0"/>
      <w:autoSpaceDN w:val="0"/>
      <w:adjustRightInd w:val="0"/>
      <w:spacing w:after="0" w:line="240" w:lineRule="auto"/>
      <w:jc w:val="both"/>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1573">
      <w:bodyDiv w:val="1"/>
      <w:marLeft w:val="0"/>
      <w:marRight w:val="0"/>
      <w:marTop w:val="0"/>
      <w:marBottom w:val="0"/>
      <w:divBdr>
        <w:top w:val="none" w:sz="0" w:space="0" w:color="auto"/>
        <w:left w:val="none" w:sz="0" w:space="0" w:color="auto"/>
        <w:bottom w:val="none" w:sz="0" w:space="0" w:color="auto"/>
        <w:right w:val="none" w:sz="0" w:space="0" w:color="auto"/>
      </w:divBdr>
    </w:div>
    <w:div w:id="768505932">
      <w:bodyDiv w:val="1"/>
      <w:marLeft w:val="0"/>
      <w:marRight w:val="0"/>
      <w:marTop w:val="0"/>
      <w:marBottom w:val="0"/>
      <w:divBdr>
        <w:top w:val="none" w:sz="0" w:space="0" w:color="auto"/>
        <w:left w:val="none" w:sz="0" w:space="0" w:color="auto"/>
        <w:bottom w:val="none" w:sz="0" w:space="0" w:color="auto"/>
        <w:right w:val="none" w:sz="0" w:space="0" w:color="auto"/>
      </w:divBdr>
    </w:div>
    <w:div w:id="1879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Шоров Аслан Жилхайдарович</cp:lastModifiedBy>
  <cp:revision>4</cp:revision>
  <cp:lastPrinted>2024-02-09T02:44:00Z</cp:lastPrinted>
  <dcterms:created xsi:type="dcterms:W3CDTF">2024-02-27T11:33:00Z</dcterms:created>
  <dcterms:modified xsi:type="dcterms:W3CDTF">2024-02-29T12:09:00Z</dcterms:modified>
</cp:coreProperties>
</file>