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5B026F" w:rsidTr="005B026F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5B026F" w:rsidRDefault="005B026F" w:rsidP="005B026F">
            <w:pPr>
              <w:spacing w:after="0" w:line="240" w:lineRule="auto"/>
              <w:rPr>
                <w:rFonts w:ascii="Times New Roman" w:eastAsia="Calibri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C0000"/>
                <w:sz w:val="24"/>
                <w:lang w:val="kk-KZ"/>
              </w:rPr>
              <w:t>№ исх: 11-12/2428 дз   от: 21.06.2023</w:t>
            </w:r>
          </w:p>
          <w:p w:rsidR="005B026F" w:rsidRPr="005B026F" w:rsidRDefault="005B026F" w:rsidP="005B026F">
            <w:pPr>
              <w:spacing w:after="0" w:line="240" w:lineRule="auto"/>
              <w:rPr>
                <w:rFonts w:ascii="Times New Roman" w:eastAsia="Calibri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C0000"/>
                <w:sz w:val="24"/>
                <w:lang w:val="kk-KZ"/>
              </w:rPr>
              <w:t>№ вх.2569//11-12/2428дз/ДС-191  от: 21.06.2023</w:t>
            </w:r>
          </w:p>
        </w:tc>
      </w:tr>
    </w:tbl>
    <w:p w:rsidR="002C2959" w:rsidRPr="00AF31A2" w:rsidRDefault="002C2959" w:rsidP="005B026F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3428A" w:rsidRPr="00AF31A2" w:rsidRDefault="00C3428A" w:rsidP="00390A8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F31A2" w:rsidRPr="00AF31A2" w:rsidRDefault="00AF31A2" w:rsidP="00AF31A2">
      <w:pPr>
        <w:tabs>
          <w:tab w:val="left" w:pos="567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 Парламенті Мәжілісінің депутаттарына</w:t>
      </w:r>
    </w:p>
    <w:p w:rsidR="00AF31A2" w:rsidRPr="008602D9" w:rsidRDefault="00AF31A2" w:rsidP="00AF31A2">
      <w:pPr>
        <w:tabs>
          <w:tab w:val="left" w:pos="567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8602D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(тізім бойынша) </w:t>
      </w:r>
    </w:p>
    <w:p w:rsidR="00AF31A2" w:rsidRPr="00AF31A2" w:rsidRDefault="00AF31A2" w:rsidP="00AF31A2">
      <w:pPr>
        <w:tabs>
          <w:tab w:val="left" w:pos="567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F31A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2023 жылғы 24 мамырдағы </w:t>
      </w:r>
    </w:p>
    <w:p w:rsidR="00AF31A2" w:rsidRPr="00AF31A2" w:rsidRDefault="00AF31A2" w:rsidP="00AF31A2">
      <w:pPr>
        <w:tabs>
          <w:tab w:val="left" w:pos="567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F31A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№ ДС-191 депутаттық сауалға</w:t>
      </w:r>
    </w:p>
    <w:p w:rsidR="00864A18" w:rsidRDefault="00864A18" w:rsidP="002C29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highlight w:val="yellow"/>
          <w:lang w:val="kk-KZ"/>
        </w:rPr>
      </w:pPr>
    </w:p>
    <w:p w:rsidR="00587EE0" w:rsidRPr="00AF31A2" w:rsidRDefault="00587EE0" w:rsidP="002C29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highlight w:val="yellow"/>
          <w:lang w:val="kk-KZ"/>
        </w:rPr>
      </w:pPr>
    </w:p>
    <w:p w:rsidR="00AF31A2" w:rsidRPr="00AF31A2" w:rsidRDefault="00AF31A2" w:rsidP="00AF31A2">
      <w:pPr>
        <w:tabs>
          <w:tab w:val="left" w:pos="5670"/>
        </w:tabs>
        <w:spacing w:after="0" w:line="240" w:lineRule="auto"/>
        <w:ind w:left="5664" w:hanging="56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Құрметті депутаттар! </w:t>
      </w:r>
    </w:p>
    <w:p w:rsidR="002C2959" w:rsidRPr="00AF31A2" w:rsidRDefault="002C2959" w:rsidP="002C29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F31A2" w:rsidRPr="00AF31A2" w:rsidRDefault="00A30D3E" w:rsidP="00AF3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Азық</w:t>
      </w:r>
      <w:r w:rsidR="00807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-түлік тауарларына тыйым салуды және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экспорттық шектеулерді енгізуге қатысты депутаттық </w:t>
      </w:r>
      <w:r w:rsidR="00807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сауалдарыңызды 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қарап, төмендегілерді хабарлаймын.</w:t>
      </w:r>
    </w:p>
    <w:p w:rsidR="00AF31A2" w:rsidRPr="00AF31A2" w:rsidRDefault="00AF31A2" w:rsidP="00D11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«Сауда қызметін реттеу туралы» Заңға сәйкес тарифтік емес реттеу шаралары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ауыл шаруашылығы тауарларының экспортына тыйым са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лу және сандық шектеулер </w:t>
      </w:r>
      <w:r w:rsidR="008076E1"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(квота</w:t>
      </w:r>
      <w:r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Қазақстан Республикасы үшін маңызды болып табылатын азық-түлік немесе өзге де тауарлар 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ішкі нарықта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аса тапшы болған жағдайда енгізілуі мүмкін. </w:t>
      </w:r>
    </w:p>
    <w:p w:rsidR="00A30D3E" w:rsidRPr="00AF31A2" w:rsidRDefault="008076E1" w:rsidP="00D11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Бұл ретте</w:t>
      </w:r>
      <w:r w:rsidR="00A30D3E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ұлттық деңгейде тауарлар экспортына тыйым салу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және</w:t>
      </w:r>
      <w:r w:rsidR="00A30D3E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сандық шектеулерді </w:t>
      </w:r>
      <w:r w:rsidR="00A30D3E"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(квоталарды)</w:t>
      </w:r>
      <w:r w:rsidR="00A30D3E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енгізу экономикалық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тұрғыдан </w:t>
      </w:r>
      <w:r w:rsidR="00A30D3E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негіздел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уге</w:t>
      </w:r>
      <w:r w:rsidR="00A30D3E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тиіс, ал енгізудің орындылығы сыртқы сауда саясаты және Халықаралық экономикалық ұйымдарға қатысу мәселелері жөніндегі ведомствоаралық комиссияның </w:t>
      </w:r>
      <w:r w:rsidR="00A30D3E"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(бұдан әрі – ВАК)</w:t>
      </w:r>
      <w:r w:rsidR="00A30D3E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алқалы шешімімен мақұлдануға тиіс.</w:t>
      </w:r>
    </w:p>
    <w:p w:rsidR="00A30D3E" w:rsidRPr="00AF31A2" w:rsidRDefault="00A30D3E" w:rsidP="00D11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ВАК құрамына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мемлекеттік органдар, сондай–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ақ ВАК отырыстары алаңында бизнес мүдделерін</w:t>
      </w:r>
      <w:r w:rsid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ің ресми өкілі болып табылатын «Атамекен»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076E1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ұлттық кәс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іпкерлер палатасы </w:t>
      </w:r>
      <w:r w:rsidR="00AF31A2"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(бұдан әрі – «Атамекен»</w:t>
      </w:r>
      <w:r w:rsidR="008076E1"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ҰКП)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кіреді. Сондай-ақ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ВАК отырысына талқыланатын мәс</w:t>
      </w:r>
      <w:r w:rsid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елелердің күн тәртібіне сәйкес «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Атамекен</w:t>
      </w:r>
      <w:r w:rsid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»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ҰКП келісімі бойынша салалық қауымдастықтар мен одақтардың өкілдері шақырылады.</w:t>
      </w:r>
    </w:p>
    <w:p w:rsidR="00A30D3E" w:rsidRPr="00AF31A2" w:rsidRDefault="008076E1" w:rsidP="00D1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Осылайша, тыйым салу</w:t>
      </w:r>
      <w:r w:rsidR="00A30D3E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мен сандық шектеулерді </w:t>
      </w:r>
      <w:r w:rsidR="00A30D3E"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(квоталарды)</w:t>
      </w:r>
      <w:r w:rsidR="00A30D3E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белгілеу тетігі мемлекеттік органдардың да, бизнестің де, қоғамдық бірлестіктердің де пікірін ескереді.</w:t>
      </w:r>
    </w:p>
    <w:p w:rsidR="00A30D3E" w:rsidRDefault="008076E1" w:rsidP="00D11A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Осыған байланысты</w:t>
      </w:r>
      <w:r w:rsidR="00A30D3E"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ішкі нарықты азық-түлікпен қамтамасыз ету және халық арасында әлеуметтік шиеленіс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A30D3E"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 бермеу</w:t>
      </w:r>
      <w:r w:rsidR="00A30D3E"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мақсатында ауыл шаруашылығы өнімдерін әкетуге уақытша шектеу шаралары белгіленді.</w:t>
      </w:r>
    </w:p>
    <w:p w:rsidR="00587EE0" w:rsidRPr="00AF31A2" w:rsidRDefault="00587EE0" w:rsidP="00D11A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0D3E" w:rsidRPr="00AF31A2" w:rsidRDefault="00A30D3E" w:rsidP="00D11A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Мәселен, 2022 жылы қантты, ірі қара мал басын </w:t>
      </w:r>
      <w:r w:rsidRPr="00587EE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(бұдан әрі – ІҚМ)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ұсақ </w:t>
      </w:r>
      <w:r w:rsidR="00807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76E1"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малды </w:t>
      </w:r>
      <w:r w:rsidRPr="00587EE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(бұдан әрі – ұсақ </w:t>
      </w:r>
      <w:r w:rsidR="008076E1" w:rsidRPr="00587EE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мал</w:t>
      </w:r>
      <w:r w:rsidRPr="00587EE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),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картоп</w:t>
      </w:r>
      <w:r w:rsidR="00807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 әкетуге тыйым салу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сондай-ақ бидай, бидай ұны, күнбағыс тұқымы мен күнбағыс майын әкетуге сандық шектеулер </w:t>
      </w:r>
      <w:r w:rsidRPr="00587EE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(квоталар)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енгізілді.</w:t>
      </w:r>
    </w:p>
    <w:p w:rsidR="00A30D3E" w:rsidRPr="00AF31A2" w:rsidRDefault="00A30D3E" w:rsidP="00A3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жылы пиязды әкетуге тыйым салынды, күнбағыс тұқымын әкетуге экспорттық кедендік баж салығы енгізілді.</w:t>
      </w:r>
    </w:p>
    <w:p w:rsidR="00A30D3E" w:rsidRPr="00AF31A2" w:rsidRDefault="00A30D3E" w:rsidP="00A3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шаралар</w:t>
      </w:r>
      <w:r w:rsidR="00807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шектеулі мерзім</w:t>
      </w:r>
      <w:r w:rsidR="00807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76E1"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 айдан аспай</w:t>
      </w:r>
      <w:r w:rsidR="00807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Pr="00AF31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30D3E" w:rsidRPr="00AF31A2" w:rsidRDefault="00A30D3E" w:rsidP="00A3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Бұл ішкі нарықты қажетті азық-түлікпен қамтамасыз етуге, бағаны тұрақтандыруға, қайта өңдеу өнеркәсібін қолдауға, сондай-ақ шикізатты қайта өңдеуді ұлғайтуға мүмкіндік берді.</w:t>
      </w:r>
    </w:p>
    <w:p w:rsidR="00A30D3E" w:rsidRPr="00AF31A2" w:rsidRDefault="00A30D3E" w:rsidP="00A3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Мысалы, ІҚМ және ұсақ мал әкетуге енгізілген тыйым малдың барлық түрлері бойынша аналық мал санының өсуіне және ет өңдеудің ұлғаюына әкелді.</w:t>
      </w:r>
    </w:p>
    <w:p w:rsidR="00A30D3E" w:rsidRPr="00AF31A2" w:rsidRDefault="00A30D3E" w:rsidP="00D11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Мәселен, 2023 жылғы 1 қа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ңтарда ірі қара мал басы 2,5%-ға, оның ішінде сиыр 6,3%-ға және қой 2,3%-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ға өсті.</w:t>
      </w:r>
    </w:p>
    <w:p w:rsidR="00A30D3E" w:rsidRPr="00AF31A2" w:rsidRDefault="00A30D3E" w:rsidP="000563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2022 жылы картопты әкетуге шектеу шараларын енгізу маусымаралық кезеңде </w:t>
      </w:r>
      <w:r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(қаңтар-сәуір)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ішкі нарықтың қажеттілігін қамтамасыз етуге мүмкіндік берді.</w:t>
      </w:r>
    </w:p>
    <w:p w:rsidR="00291A61" w:rsidRPr="00AF31A2" w:rsidRDefault="00A30D3E" w:rsidP="00056346">
      <w:pPr>
        <w:spacing w:after="0" w:line="240" w:lineRule="auto"/>
        <w:ind w:firstLine="709"/>
        <w:contextualSpacing/>
        <w:jc w:val="both"/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</w:pPr>
      <w:r w:rsidRPr="00AF31A2"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  <w:t>Анықтама: Өзбекстанның 10 қазаннан 31 желтоқсанға дейін картоп импортына ҚҚС-ты нөл</w:t>
      </w:r>
      <w:r w:rsidR="008076E1"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  <w:t>ге келтіру</w:t>
      </w:r>
      <w:r w:rsidRPr="00AF31A2"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  <w:t xml:space="preserve"> жөніндегі шараларды қолдануына байланысты </w:t>
      </w:r>
      <w:r w:rsidR="008076E1" w:rsidRPr="00AF31A2"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  <w:t xml:space="preserve">картопты Өзбекстанға жаппай әкету </w:t>
      </w:r>
      <w:r w:rsidRPr="00AF31A2"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  <w:t>жүзеге асырылды (2021</w:t>
      </w:r>
      <w:r w:rsidR="00AF31A2"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  <w:t xml:space="preserve"> жылы Өзбекстанға картоптың 95%</w:t>
      </w:r>
      <w:r w:rsidRPr="00AF31A2"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  <w:t>-ы (187 мың тонна) экспортталды</w:t>
      </w:r>
      <w:r w:rsidR="008076E1"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  <w:t>)</w:t>
      </w:r>
      <w:r w:rsidRPr="00AF31A2">
        <w:rPr>
          <w:rFonts w:ascii="Roboto Condensed" w:eastAsia="Roboto Condensed" w:hAnsi="Roboto Condensed" w:cs="Roboto Condensed"/>
          <w:i/>
          <w:color w:val="000000"/>
          <w:kern w:val="24"/>
          <w:sz w:val="24"/>
          <w:szCs w:val="24"/>
          <w:lang w:val="kk-KZ"/>
        </w:rPr>
        <w:t>.</w:t>
      </w:r>
    </w:p>
    <w:p w:rsidR="00A30D3E" w:rsidRPr="00AF31A2" w:rsidRDefault="00A30D3E" w:rsidP="00D11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Қабылданған шаралардың арқасында маусымаралық шыңында пиязға қатысты баға индексін нөлдік деңгейде тұрақтандыруға қол жеткізілді. Мәселен, 2023 жылдың 1 сәуірінде пияз бағасының төмендеуі 2,5% деңгейінде байқалды.</w:t>
      </w:r>
    </w:p>
    <w:p w:rsidR="00A30D3E" w:rsidRPr="00AF31A2" w:rsidRDefault="00A30D3E" w:rsidP="00A3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Күнбағыс тұқымын әкетуге шектеу шараларын енгізу Қазақстанда күнбағыс майы өндірісін 20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22 жылы 62%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-ға, бидай 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мен бидай ұнын өндіруді 10,2%-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ға ұлғайтуға мүмкіндік берді.</w:t>
      </w:r>
    </w:p>
    <w:p w:rsidR="00A30D3E" w:rsidRPr="00AF31A2" w:rsidRDefault="00A30D3E" w:rsidP="00A3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Айта кету керек, бидай экспортына сандық шектеулер дәстүрлі көлемде енгізілді және астық жинау басталған кезде шектеулер тоқтатылды.</w:t>
      </w:r>
    </w:p>
    <w:p w:rsidR="00A30D3E" w:rsidRPr="00AF31A2" w:rsidRDefault="00A30D3E" w:rsidP="0080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Енгізілген шектеулерге қарамастан, 202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 жылы бидай экспорты 37,7</w:t>
      </w:r>
      <w:r w:rsidR="008076E1" w:rsidRP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%-ға өсті  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1 425 млн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АҚШ долл.</w:t>
      </w:r>
      <w:r w:rsid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1 920 млн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АҚШ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долл. дейін.</w:t>
      </w:r>
      <w:r w:rsidR="008076E1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Ұн экспорты 70%-</w:t>
      </w:r>
      <w:r w:rsidR="008076E1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ға өсті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440 млн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076E1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АҚШ 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долл. 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753 млн АҚШ </w:t>
      </w:r>
      <w:r w:rsidR="008076E1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долл.</w:t>
      </w:r>
      <w:r w:rsidR="008076E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дейін. </w:t>
      </w:r>
    </w:p>
    <w:p w:rsidR="00A30D3E" w:rsidRPr="00AF31A2" w:rsidRDefault="00A30D3E" w:rsidP="00A30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Бұдан басқа, отандық ауыл шаруашылығы тауарын өндірушілерді </w:t>
      </w:r>
      <w:r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(бұдан</w:t>
      </w:r>
      <w:r w:rsidR="00AF31A2" w:rsidRPr="00587E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әрі – АШТӨ) </w:t>
      </w:r>
      <w:r w:rsid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қолдау мақсатында «Азық-түлік корпорациясы» 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ҰК</w:t>
      </w:r>
      <w:r w:rsid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»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АҚ нарықтағы бағасы 117 </w:t>
      </w:r>
      <w:r w:rsid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мың теңге</w:t>
      </w:r>
      <w:r w:rsidR="004C23E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нің</w:t>
      </w:r>
      <w:r w:rsid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4C23ED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бидай</w:t>
      </w:r>
      <w:r w:rsidR="004C23E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ын</w:t>
      </w:r>
      <w:r w:rsidR="004C23ED" w:rsidRPr="004C23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</w:t>
      </w:r>
      <w:r w:rsidR="00AF31A2" w:rsidRPr="004C23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(304 АШТӨ-ден 80 млрд </w:t>
      </w:r>
      <w:r w:rsidRPr="004C23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теңге сомасына 958,9 мың тонна)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121-125 мың теңгеден форвардтық сатып алуды жүзеге асырды.</w:t>
      </w:r>
    </w:p>
    <w:p w:rsidR="00A30D3E" w:rsidRPr="00AF31A2" w:rsidRDefault="004C23ED" w:rsidP="00A30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Жалпы</w:t>
      </w:r>
      <w:r w:rsidR="00A30D3E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соңғы 2 жылда АӨК өнімінің экспорты оң серпінді көрсетіп отыр.</w:t>
      </w:r>
    </w:p>
    <w:p w:rsidR="004C23ED" w:rsidRDefault="00A30D3E" w:rsidP="004C2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Мәселен, 2022 жылдың қорытындысы бойынша АӨК өнімінің экспорты 5,6 млрд </w:t>
      </w:r>
      <w:r w:rsidR="004C23ED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АҚШ 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доллары</w:t>
      </w:r>
      <w:r w:rsidR="004C23E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 құрады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 бұл 2021 жылғы деңгейден 46% жоғары. АӨК қайта өңде</w:t>
      </w:r>
      <w:r w:rsidR="004C23E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лген өнімдерінің экспорты 64%-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ға ұлғайып, 2,3 млрд АҚШ долларын құрады. Экспорттағы өңделген өнімнің үлесі 37%-</w:t>
      </w:r>
      <w:r w:rsidR="004C23E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дан 42%-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ға дейін өсті.</w:t>
      </w:r>
    </w:p>
    <w:p w:rsidR="00AF31A2" w:rsidRDefault="00A30D3E" w:rsidP="004C2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Бұдан басқа, 2023 жылғы 22 ақпанда </w:t>
      </w:r>
      <w:r w:rsidR="004C23ED"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Сыртқы 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сауда саясаты және</w:t>
      </w:r>
      <w:r w:rsidR="004C23E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халық аралық экономикалық ұйымдарға қатысу мәселелері жөніндегі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ВАК ірі қара малдың терісіне экспорттық кедендік бажды 1 тонна үшін 100 еуроға дейін </w:t>
      </w: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lastRenderedPageBreak/>
        <w:t>төмендетуді және 2023 жылғы 31 желтоқсанға дейінгі мерзімге ұсақ малдың терісіне экспорттық кедендік баждарды жоюды мақұлдады.</w:t>
      </w:r>
    </w:p>
    <w:p w:rsidR="00A30D3E" w:rsidRPr="00AF31A2" w:rsidRDefault="00A30D3E" w:rsidP="00A30D3E">
      <w:pPr>
        <w:tabs>
          <w:tab w:val="left" w:pos="993"/>
        </w:tabs>
        <w:spacing w:after="2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Өз кезегінде, АШТӨ-ні қолдау мақсатында жүргізіліп жатқан аграрлық саясат шеңберінде 2022 жылы Ауыл шаруашылығын субсидиялауға 450 млрд теңге бөлінді, оның ішінде бағыттар бойынша:</w:t>
      </w:r>
    </w:p>
    <w:p w:rsidR="00A30D3E" w:rsidRPr="00AF31A2" w:rsidRDefault="00A30D3E" w:rsidP="004C23ED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мал шаруашылығы</w:t>
      </w:r>
      <w:r w:rsidR="004C23ED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– </w:t>
      </w: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130,7 млрд теңге;</w:t>
      </w:r>
    </w:p>
    <w:p w:rsidR="00A30D3E" w:rsidRPr="00AF31A2" w:rsidRDefault="00A30D3E" w:rsidP="004C23ED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өсімдік шаруашылығы</w:t>
      </w:r>
      <w:r w:rsidR="004C23ED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– </w:t>
      </w: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107,8 млрд теңге;</w:t>
      </w:r>
    </w:p>
    <w:p w:rsidR="00A30D3E" w:rsidRPr="00AF31A2" w:rsidRDefault="00A30D3E" w:rsidP="004C23ED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қаржы құралдары </w:t>
      </w:r>
      <w:r w:rsidR="004C23ED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–</w:t>
      </w: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200,4 млрд теңге;</w:t>
      </w:r>
    </w:p>
    <w:p w:rsidR="00A30D3E" w:rsidRPr="00AF31A2" w:rsidRDefault="00A30D3E" w:rsidP="00587EE0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ауыл шаруашылығы өнімдерін қайта өңдеу</w:t>
      </w:r>
      <w:r w:rsidR="00587EE0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– </w:t>
      </w: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10,9 млрд теңге.</w:t>
      </w:r>
    </w:p>
    <w:p w:rsidR="00A30D3E" w:rsidRPr="00AF31A2" w:rsidRDefault="00A30D3E" w:rsidP="00D11AA4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Шешімдерді тезірек қабылдау үшін ағымдағы жылдан бастап барлық субсидиялар жалпы сипаттағы трансферттермен жергілікті бюджеттер базасына берілді.</w:t>
      </w:r>
    </w:p>
    <w:p w:rsidR="00A30D3E" w:rsidRPr="00AF31A2" w:rsidRDefault="004C23ED" w:rsidP="00587EE0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Ағымдағы жылы а</w:t>
      </w:r>
      <w:r w:rsidR="00A30D3E"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у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ыл шаруашылығын субсидиялауға </w:t>
      </w:r>
      <w:r w:rsidR="00587EE0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30D3E"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427,7 млрд теңге бөлінді, оның ішінде бағыттар бойынша:</w:t>
      </w:r>
    </w:p>
    <w:p w:rsidR="00A30D3E" w:rsidRPr="00AF31A2" w:rsidRDefault="00A30D3E" w:rsidP="004C23ED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өсімдік шаруашылығы</w:t>
      </w:r>
      <w:r w:rsidR="004C23ED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– </w:t>
      </w: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100,7 млрд теңге;</w:t>
      </w:r>
    </w:p>
    <w:p w:rsidR="00A30D3E" w:rsidRPr="00AF31A2" w:rsidRDefault="00A30D3E" w:rsidP="004C23ED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мал шаруашылығы</w:t>
      </w:r>
      <w:r w:rsidR="004C23ED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– </w:t>
      </w: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107,9 млрд теңге;</w:t>
      </w:r>
    </w:p>
    <w:p w:rsidR="00A30D3E" w:rsidRPr="00AF31A2" w:rsidRDefault="00A30D3E" w:rsidP="004C23ED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қаржы құралдары</w:t>
      </w:r>
      <w:r w:rsidR="004C23ED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– </w:t>
      </w: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199,8 млрд теңге;</w:t>
      </w:r>
    </w:p>
    <w:p w:rsidR="004C23ED" w:rsidRDefault="00A30D3E" w:rsidP="004C23ED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ауыл шаруашылығы өнімдерін қайта өңдеу</w:t>
      </w:r>
      <w:r w:rsidR="004C23ED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– </w:t>
      </w: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19,1 млрд теңге.</w:t>
      </w:r>
    </w:p>
    <w:p w:rsidR="004C23ED" w:rsidRDefault="00A30D3E" w:rsidP="004C23ED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Бұдан басқа, майлы дақылдарды қайта өңдеушілер қауымдастығының ақпараты бойынша 2022 жылы май зауыттары АШТӨ</w:t>
      </w:r>
      <w:r w:rsidR="004C23ED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-ні 40 млрд теңгеге жуық сомаға </w:t>
      </w:r>
      <w:r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болашақ егін есебінен қаржыландырды.</w:t>
      </w:r>
    </w:p>
    <w:p w:rsidR="00E515D3" w:rsidRPr="004C23ED" w:rsidRDefault="004C23ED" w:rsidP="004C23ED">
      <w:pPr>
        <w:spacing w:after="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Жалпы</w:t>
      </w:r>
      <w:r w:rsidR="00A30D3E" w:rsidRPr="00AF31A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агроөнеркәсіптік кешенді дамыту мәселелері Үкіметтің тұрақты бақылауында.</w:t>
      </w:r>
      <w:r w:rsidR="000A51E3" w:rsidRPr="00AF31A2">
        <w:rPr>
          <w:lang w:val="kk-KZ"/>
        </w:rPr>
        <w:tab/>
      </w:r>
    </w:p>
    <w:p w:rsidR="00FE7CA8" w:rsidRDefault="00FE7CA8" w:rsidP="00E51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1A2" w:rsidRPr="00AF31A2" w:rsidRDefault="00AF31A2" w:rsidP="00E51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28A" w:rsidRPr="00AF31A2" w:rsidRDefault="00A30D3E" w:rsidP="00390A86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31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0A86" w:rsidRPr="00AF31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F31A2">
        <w:rPr>
          <w:rFonts w:ascii="Times New Roman" w:hAnsi="Times New Roman" w:cs="Times New Roman"/>
          <w:b/>
          <w:sz w:val="28"/>
          <w:szCs w:val="28"/>
          <w:lang w:val="kk-KZ"/>
        </w:rPr>
        <w:t>Ә. Смайы</w:t>
      </w:r>
      <w:r w:rsidR="000A51E3" w:rsidRPr="00AF31A2">
        <w:rPr>
          <w:rFonts w:ascii="Times New Roman" w:hAnsi="Times New Roman" w:cs="Times New Roman"/>
          <w:b/>
          <w:sz w:val="28"/>
          <w:szCs w:val="28"/>
          <w:lang w:val="kk-KZ"/>
        </w:rPr>
        <w:t>лов</w:t>
      </w: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428A" w:rsidRPr="00AF31A2" w:rsidRDefault="00C3428A" w:rsidP="00C342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51E3" w:rsidRPr="00AF31A2" w:rsidRDefault="00C3428A" w:rsidP="00C3428A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AF31A2">
        <w:rPr>
          <w:rFonts w:ascii="Times New Roman" w:hAnsi="Times New Roman" w:cs="Times New Roman"/>
          <w:i/>
          <w:sz w:val="20"/>
          <w:szCs w:val="20"/>
          <w:lang w:val="kk-KZ"/>
        </w:rPr>
        <w:t xml:space="preserve">Исп. А. Токтарова </w:t>
      </w:r>
    </w:p>
    <w:p w:rsidR="00C3428A" w:rsidRPr="00AF31A2" w:rsidRDefault="00C3428A" w:rsidP="00C3428A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AF31A2">
        <w:rPr>
          <w:rFonts w:ascii="Times New Roman" w:hAnsi="Times New Roman" w:cs="Times New Roman"/>
          <w:i/>
          <w:sz w:val="20"/>
          <w:szCs w:val="20"/>
          <w:lang w:val="kk-KZ"/>
        </w:rPr>
        <w:t>75-00-33</w:t>
      </w:r>
    </w:p>
    <w:p w:rsidR="005E277E" w:rsidRPr="00AF31A2" w:rsidRDefault="005E277E" w:rsidP="00587EE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E277E" w:rsidRPr="00AF31A2" w:rsidRDefault="005E277E" w:rsidP="005E277E">
      <w:pPr>
        <w:tabs>
          <w:tab w:val="left" w:pos="567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31A2" w:rsidRDefault="00AF31A2" w:rsidP="00AF31A2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Парламенті Мәжілісінің депутаттарының тізімі: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31A2" w:rsidRPr="00AF31A2" w:rsidRDefault="00AF31A2" w:rsidP="00AF31A2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31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«Respublica»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партиясы </w:t>
      </w:r>
    </w:p>
    <w:p w:rsidR="00AF31A2" w:rsidRP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Фракциясының мүшелері                    </w:t>
      </w:r>
      <w:r w:rsidRPr="00AF31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 w:rsidRPr="00AF31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А.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</w:t>
      </w:r>
      <w:r w:rsidRPr="00AF31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жаназаров</w:t>
      </w:r>
    </w:p>
    <w:p w:rsidR="00AF31A2" w:rsidRPr="007824D7" w:rsidRDefault="00AF31A2" w:rsidP="00AF31A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Берденов</w:t>
      </w:r>
    </w:p>
    <w:p w:rsidR="00AF31A2" w:rsidRPr="007824D7" w:rsidRDefault="00AF31A2" w:rsidP="00AF31A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Құспеков</w:t>
      </w:r>
    </w:p>
    <w:p w:rsidR="00AF31A2" w:rsidRDefault="00AF31A2" w:rsidP="00AF31A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</w:t>
      </w:r>
    </w:p>
    <w:p w:rsidR="00AF31A2" w:rsidRPr="00994AB5" w:rsidRDefault="00AF31A2" w:rsidP="00AF31A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Шүкіжанова</w:t>
      </w:r>
    </w:p>
    <w:p w:rsidR="00AF31A2" w:rsidRPr="00B13996" w:rsidRDefault="00AF31A2" w:rsidP="00AF31A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139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Д. Наумова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31E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халық партиясы</w:t>
      </w:r>
      <w:r w:rsidRPr="00931E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Фракциясының мүшелері                                          И. Смирнова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К. Сейтжан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77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Ауыл</w:t>
      </w:r>
      <w:r w:rsidRPr="00177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партиясы 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Фракциясының мүшесі                                              А. Зейнуллин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31E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«AMANAT»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партиясы 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Фракциясының мүшелері</w:t>
      </w:r>
      <w:r w:rsidRPr="00931E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Н. Әшімбетов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П. Казанцев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31A2" w:rsidRDefault="00AF31A2" w:rsidP="00AF31A2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Парламенті Мәжілісінің депутаты                           Д. Қасқарауов</w:t>
      </w:r>
    </w:p>
    <w:p w:rsidR="00AF31A2" w:rsidRDefault="00AF31A2" w:rsidP="00AF31A2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31A2" w:rsidRDefault="00AF31A2" w:rsidP="00AF31A2">
      <w:pPr>
        <w:tabs>
          <w:tab w:val="left" w:pos="5670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31A2" w:rsidRDefault="00AF31A2" w:rsidP="00AF31A2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31A2" w:rsidRDefault="00AF31A2" w:rsidP="00AF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277E" w:rsidRPr="00AF31A2" w:rsidRDefault="005E277E" w:rsidP="00C3428A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</w:p>
    <w:sectPr w:rsidR="005E277E" w:rsidRPr="00AF31A2" w:rsidSect="00AF3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69" w:rsidRDefault="00ED7669" w:rsidP="00AC00EE">
      <w:pPr>
        <w:spacing w:after="0" w:line="240" w:lineRule="auto"/>
      </w:pPr>
      <w:r>
        <w:separator/>
      </w:r>
    </w:p>
  </w:endnote>
  <w:endnote w:type="continuationSeparator" w:id="0">
    <w:p w:rsidR="00ED7669" w:rsidRDefault="00ED7669" w:rsidP="00AC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E4" w:rsidRDefault="00BD0A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E4" w:rsidRDefault="00BD0A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E4" w:rsidRDefault="00BD0A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69" w:rsidRDefault="00ED7669" w:rsidP="00AC00EE">
      <w:pPr>
        <w:spacing w:after="0" w:line="240" w:lineRule="auto"/>
      </w:pPr>
      <w:r>
        <w:separator/>
      </w:r>
    </w:p>
  </w:footnote>
  <w:footnote w:type="continuationSeparator" w:id="0">
    <w:p w:rsidR="00ED7669" w:rsidRDefault="00ED7669" w:rsidP="00AC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E4" w:rsidRDefault="00BD0A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349072"/>
      <w:docPartObj>
        <w:docPartGallery w:val="Page Numbers (Top of Page)"/>
        <w:docPartUnique/>
      </w:docPartObj>
    </w:sdtPr>
    <w:sdtEndPr/>
    <w:sdtContent>
      <w:p w:rsidR="00AC00EE" w:rsidRDefault="00AC00EE" w:rsidP="00823E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6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8A" w:rsidRPr="00C3428A" w:rsidRDefault="00C3428A" w:rsidP="00BD0AE4">
    <w:pPr>
      <w:pStyle w:val="a4"/>
      <w:jc w:val="center"/>
    </w:pPr>
    <w:r w:rsidRPr="00C3428A">
      <w:rPr>
        <w:rFonts w:ascii="Calibri" w:eastAsia="Calibri" w:hAnsi="Calibri" w:cs="Times New Roman"/>
        <w:noProof/>
        <w:sz w:val="24"/>
        <w:szCs w:val="24"/>
        <w:lang w:eastAsia="ru-RU"/>
      </w:rPr>
      <w:drawing>
        <wp:inline distT="0" distB="0" distL="0" distR="0" wp14:anchorId="26C98A4B" wp14:editId="1CCB33D8">
          <wp:extent cx="5940425" cy="1738448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38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2022"/>
    <w:multiLevelType w:val="hybridMultilevel"/>
    <w:tmpl w:val="5244675A"/>
    <w:lvl w:ilvl="0" w:tplc="5CA6BFBE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1D0F56"/>
    <w:multiLevelType w:val="hybridMultilevel"/>
    <w:tmpl w:val="5F747016"/>
    <w:lvl w:ilvl="0" w:tplc="2A7896A8">
      <w:start w:val="1"/>
      <w:numFmt w:val="bullet"/>
      <w:lvlText w:val="˗"/>
      <w:lvlJc w:val="left"/>
      <w:pPr>
        <w:ind w:left="13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5EB63666"/>
    <w:multiLevelType w:val="hybridMultilevel"/>
    <w:tmpl w:val="5504CC34"/>
    <w:lvl w:ilvl="0" w:tplc="2C947E4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E0BD1"/>
    <w:multiLevelType w:val="hybridMultilevel"/>
    <w:tmpl w:val="22569B8C"/>
    <w:lvl w:ilvl="0" w:tplc="2A7896A8">
      <w:start w:val="1"/>
      <w:numFmt w:val="bullet"/>
      <w:lvlText w:val="˗"/>
      <w:lvlJc w:val="left"/>
      <w:pPr>
        <w:ind w:left="13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A2"/>
    <w:rsid w:val="00056346"/>
    <w:rsid w:val="00065D29"/>
    <w:rsid w:val="00065FFC"/>
    <w:rsid w:val="00091CD5"/>
    <w:rsid w:val="000A4DDE"/>
    <w:rsid w:val="000A51E3"/>
    <w:rsid w:val="001024AB"/>
    <w:rsid w:val="00105819"/>
    <w:rsid w:val="00184FC2"/>
    <w:rsid w:val="00216C23"/>
    <w:rsid w:val="00222CF9"/>
    <w:rsid w:val="00231B67"/>
    <w:rsid w:val="002873CA"/>
    <w:rsid w:val="00291A61"/>
    <w:rsid w:val="002B30C2"/>
    <w:rsid w:val="002C2959"/>
    <w:rsid w:val="00390A86"/>
    <w:rsid w:val="0039344C"/>
    <w:rsid w:val="00423CB8"/>
    <w:rsid w:val="004270BF"/>
    <w:rsid w:val="00452F44"/>
    <w:rsid w:val="004C08B6"/>
    <w:rsid w:val="004C23ED"/>
    <w:rsid w:val="0058503B"/>
    <w:rsid w:val="00587EE0"/>
    <w:rsid w:val="005B026F"/>
    <w:rsid w:val="005E277E"/>
    <w:rsid w:val="00600DF0"/>
    <w:rsid w:val="00677B17"/>
    <w:rsid w:val="006A2C6C"/>
    <w:rsid w:val="006D621C"/>
    <w:rsid w:val="006F044A"/>
    <w:rsid w:val="006F1F66"/>
    <w:rsid w:val="0071681B"/>
    <w:rsid w:val="00722A4A"/>
    <w:rsid w:val="007257ED"/>
    <w:rsid w:val="0075655D"/>
    <w:rsid w:val="00763E49"/>
    <w:rsid w:val="007E3789"/>
    <w:rsid w:val="008076E1"/>
    <w:rsid w:val="00823EA1"/>
    <w:rsid w:val="008602D9"/>
    <w:rsid w:val="00864A18"/>
    <w:rsid w:val="0089530E"/>
    <w:rsid w:val="008A6C1A"/>
    <w:rsid w:val="008B0C7A"/>
    <w:rsid w:val="008B1BD0"/>
    <w:rsid w:val="008B2AF0"/>
    <w:rsid w:val="008C0787"/>
    <w:rsid w:val="008C76AE"/>
    <w:rsid w:val="00905858"/>
    <w:rsid w:val="009328E1"/>
    <w:rsid w:val="009335CA"/>
    <w:rsid w:val="00975511"/>
    <w:rsid w:val="00A14BEA"/>
    <w:rsid w:val="00A30D3E"/>
    <w:rsid w:val="00A336AC"/>
    <w:rsid w:val="00AA1C39"/>
    <w:rsid w:val="00AC00EE"/>
    <w:rsid w:val="00AE7EB0"/>
    <w:rsid w:val="00AF31A2"/>
    <w:rsid w:val="00AF7E3B"/>
    <w:rsid w:val="00B7579D"/>
    <w:rsid w:val="00B82E30"/>
    <w:rsid w:val="00B83A52"/>
    <w:rsid w:val="00BA1043"/>
    <w:rsid w:val="00BA1F97"/>
    <w:rsid w:val="00BA3480"/>
    <w:rsid w:val="00BA6425"/>
    <w:rsid w:val="00BB31CE"/>
    <w:rsid w:val="00BD0AE4"/>
    <w:rsid w:val="00C23173"/>
    <w:rsid w:val="00C333E3"/>
    <w:rsid w:val="00C3428A"/>
    <w:rsid w:val="00C63601"/>
    <w:rsid w:val="00C6719E"/>
    <w:rsid w:val="00C739A2"/>
    <w:rsid w:val="00C75761"/>
    <w:rsid w:val="00CF1108"/>
    <w:rsid w:val="00CF3A9C"/>
    <w:rsid w:val="00D11AA4"/>
    <w:rsid w:val="00D71F21"/>
    <w:rsid w:val="00D84781"/>
    <w:rsid w:val="00DA2EC5"/>
    <w:rsid w:val="00DB6B37"/>
    <w:rsid w:val="00DC4AA2"/>
    <w:rsid w:val="00E022F4"/>
    <w:rsid w:val="00E0351F"/>
    <w:rsid w:val="00E46E79"/>
    <w:rsid w:val="00E50B70"/>
    <w:rsid w:val="00E515D3"/>
    <w:rsid w:val="00E54280"/>
    <w:rsid w:val="00E82792"/>
    <w:rsid w:val="00EA0157"/>
    <w:rsid w:val="00EA224A"/>
    <w:rsid w:val="00ED7669"/>
    <w:rsid w:val="00EE748A"/>
    <w:rsid w:val="00F00925"/>
    <w:rsid w:val="00F162E9"/>
    <w:rsid w:val="00F43B10"/>
    <w:rsid w:val="00F54779"/>
    <w:rsid w:val="00F558CE"/>
    <w:rsid w:val="00F6408F"/>
    <w:rsid w:val="00F671C8"/>
    <w:rsid w:val="00FA308E"/>
    <w:rsid w:val="00FA3A56"/>
    <w:rsid w:val="00FD6EB3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F26E-8A7E-4AEB-A581-C7564496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0EE"/>
  </w:style>
  <w:style w:type="paragraph" w:styleId="a6">
    <w:name w:val="footer"/>
    <w:basedOn w:val="a"/>
    <w:link w:val="a7"/>
    <w:uiPriority w:val="99"/>
    <w:unhideWhenUsed/>
    <w:rsid w:val="00AC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0EE"/>
  </w:style>
  <w:style w:type="paragraph" w:styleId="a8">
    <w:name w:val="List Paragraph"/>
    <w:basedOn w:val="a"/>
    <w:uiPriority w:val="34"/>
    <w:qFormat/>
    <w:rsid w:val="00A3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06C0-E1C2-44C0-AB94-57CE0B60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Журынова Сауле Конысхановна</dc:creator>
  <cp:keywords/>
  <dc:description/>
  <cp:lastModifiedBy>Алимгожаев Асхат</cp:lastModifiedBy>
  <cp:revision>13</cp:revision>
  <dcterms:created xsi:type="dcterms:W3CDTF">2023-06-12T14:16:00Z</dcterms:created>
  <dcterms:modified xsi:type="dcterms:W3CDTF">2023-06-22T06:14:00Z</dcterms:modified>
</cp:coreProperties>
</file>