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3B" w:rsidRPr="0086592A" w:rsidRDefault="00861E3B">
      <w:pPr>
        <w:rPr>
          <w:lang w:val="kk-KZ"/>
        </w:rPr>
      </w:pPr>
    </w:p>
    <w:tbl>
      <w:tblPr>
        <w:tblpPr w:leftFromText="180" w:rightFromText="180" w:vertAnchor="text" w:horzAnchor="margin" w:tblpY="-302"/>
        <w:tblW w:w="9918" w:type="dxa"/>
        <w:tblLook w:val="01E0"/>
      </w:tblPr>
      <w:tblGrid>
        <w:gridCol w:w="3868"/>
        <w:gridCol w:w="386"/>
        <w:gridCol w:w="1986"/>
        <w:gridCol w:w="377"/>
        <w:gridCol w:w="3301"/>
      </w:tblGrid>
      <w:tr w:rsidR="00C12AAE" w:rsidRPr="0086592A" w:rsidTr="00614177">
        <w:trPr>
          <w:trHeight w:val="1988"/>
        </w:trPr>
        <w:tc>
          <w:tcPr>
            <w:tcW w:w="4254" w:type="dxa"/>
            <w:gridSpan w:val="2"/>
            <w:tcBorders>
              <w:bottom w:val="single" w:sz="12" w:space="0" w:color="3333CC"/>
            </w:tcBorders>
          </w:tcPr>
          <w:p w:rsidR="00861E3B" w:rsidRPr="0086592A" w:rsidRDefault="00861E3B" w:rsidP="00614177">
            <w:pPr>
              <w:rPr>
                <w:b/>
                <w:bCs/>
                <w:color w:val="548DD4" w:themeColor="text2" w:themeTint="99"/>
                <w:sz w:val="20"/>
                <w:szCs w:val="20"/>
                <w:lang w:val="kk-KZ"/>
              </w:rPr>
            </w:pPr>
          </w:p>
          <w:p w:rsidR="00DE6EA1" w:rsidRPr="0086592A" w:rsidRDefault="00DE6EA1" w:rsidP="00614177">
            <w:pPr>
              <w:jc w:val="center"/>
              <w:rPr>
                <w:b/>
                <w:noProof/>
                <w:color w:val="548DD4" w:themeColor="text2" w:themeTint="99"/>
                <w:sz w:val="20"/>
                <w:lang w:val="kk-KZ"/>
              </w:rPr>
            </w:pPr>
          </w:p>
          <w:p w:rsidR="007F754C" w:rsidRPr="0086592A" w:rsidRDefault="00725FC0" w:rsidP="00614177">
            <w:pPr>
              <w:jc w:val="center"/>
              <w:rPr>
                <w:b/>
                <w:color w:val="548DD4" w:themeColor="text2" w:themeTint="99"/>
                <w:sz w:val="20"/>
                <w:lang w:val="kk-KZ"/>
              </w:rPr>
            </w:pPr>
            <w:r w:rsidRPr="0086592A">
              <w:rPr>
                <w:b/>
                <w:noProof/>
                <w:color w:val="548DD4" w:themeColor="text2" w:themeTint="99"/>
                <w:sz w:val="20"/>
                <w:lang w:val="kk-KZ"/>
              </w:rPr>
              <w:t>ҚАЗАҚСТАН РЕСПУБЛИКАСЫ</w:t>
            </w:r>
            <w:r w:rsidR="00DE6EA1" w:rsidRPr="0086592A">
              <w:rPr>
                <w:b/>
                <w:noProof/>
                <w:color w:val="548DD4" w:themeColor="text2" w:themeTint="99"/>
                <w:sz w:val="20"/>
                <w:lang w:val="kk-KZ"/>
              </w:rPr>
              <w:t>НЫҢСТРАТЕГИЯЛЫҚ ЖОСПАРЛАУ ЖӘНЕ РЕФОРМАЛАР АГЕНТТІГІ</w:t>
            </w:r>
          </w:p>
          <w:p w:rsidR="007F754C" w:rsidRPr="0086592A" w:rsidRDefault="007F754C" w:rsidP="00614177">
            <w:pPr>
              <w:spacing w:line="288" w:lineRule="auto"/>
              <w:jc w:val="center"/>
              <w:rPr>
                <w:b/>
                <w:color w:val="548DD4" w:themeColor="text2" w:themeTint="99"/>
                <w:sz w:val="23"/>
                <w:szCs w:val="23"/>
                <w:lang w:val="kk-KZ"/>
              </w:rPr>
            </w:pPr>
          </w:p>
        </w:tc>
        <w:tc>
          <w:tcPr>
            <w:tcW w:w="1986" w:type="dxa"/>
            <w:tcBorders>
              <w:bottom w:val="single" w:sz="12" w:space="0" w:color="3333CC"/>
            </w:tcBorders>
            <w:hideMark/>
          </w:tcPr>
          <w:p w:rsidR="007F754C" w:rsidRPr="0086592A" w:rsidRDefault="007F754C" w:rsidP="00614177">
            <w:pPr>
              <w:rPr>
                <w:color w:val="548DD4"/>
                <w:sz w:val="22"/>
                <w:szCs w:val="22"/>
                <w:lang w:val="kk-KZ"/>
              </w:rPr>
            </w:pPr>
            <w:r w:rsidRPr="0086592A">
              <w:rPr>
                <w:noProof/>
                <w:sz w:val="22"/>
                <w:szCs w:val="22"/>
              </w:rPr>
              <w:drawing>
                <wp:inline distT="0" distB="0" distL="0" distR="0">
                  <wp:extent cx="1123950" cy="11715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678" w:type="dxa"/>
            <w:gridSpan w:val="2"/>
            <w:tcBorders>
              <w:bottom w:val="single" w:sz="12" w:space="0" w:color="3333CC"/>
            </w:tcBorders>
          </w:tcPr>
          <w:p w:rsidR="00861E3B" w:rsidRPr="0086592A" w:rsidRDefault="00861E3B" w:rsidP="00614177">
            <w:pPr>
              <w:rPr>
                <w:b/>
                <w:bCs/>
                <w:color w:val="548DD4" w:themeColor="text2" w:themeTint="99"/>
                <w:sz w:val="16"/>
                <w:szCs w:val="20"/>
                <w:lang w:val="kk-KZ"/>
              </w:rPr>
            </w:pPr>
          </w:p>
          <w:p w:rsidR="00DE6EA1" w:rsidRPr="0086592A" w:rsidRDefault="00DE6EA1" w:rsidP="00614177">
            <w:pPr>
              <w:ind w:left="-128"/>
              <w:jc w:val="center"/>
              <w:rPr>
                <w:b/>
                <w:noProof/>
                <w:color w:val="548DD4" w:themeColor="text2" w:themeTint="99"/>
                <w:sz w:val="20"/>
                <w:lang w:val="kk-KZ"/>
              </w:rPr>
            </w:pPr>
          </w:p>
          <w:p w:rsidR="007F754C" w:rsidRPr="0086592A" w:rsidRDefault="001104E8" w:rsidP="00614177">
            <w:pPr>
              <w:ind w:left="-128"/>
              <w:jc w:val="center"/>
              <w:rPr>
                <w:b/>
                <w:color w:val="548DD4" w:themeColor="text2" w:themeTint="99"/>
                <w:sz w:val="20"/>
                <w:lang w:val="kk-KZ"/>
              </w:rPr>
            </w:pPr>
            <w:r w:rsidRPr="0086592A">
              <w:rPr>
                <w:b/>
                <w:noProof/>
                <w:color w:val="548DD4" w:themeColor="text2" w:themeTint="99"/>
                <w:sz w:val="20"/>
                <w:lang w:val="kk-KZ"/>
              </w:rPr>
              <w:t xml:space="preserve">АГЕНТСТВО ПО СТРАТЕГИЧЕСКОМУ </w:t>
            </w:r>
            <w:r w:rsidR="00DE6EA1" w:rsidRPr="0086592A">
              <w:rPr>
                <w:b/>
                <w:noProof/>
                <w:color w:val="548DD4" w:themeColor="text2" w:themeTint="99"/>
                <w:sz w:val="20"/>
                <w:lang w:val="kk-KZ"/>
              </w:rPr>
              <w:t xml:space="preserve">ПЛАНИРОВАНИЮ И РЕФОРМАМ </w:t>
            </w:r>
            <w:r w:rsidR="00725FC0" w:rsidRPr="0086592A">
              <w:rPr>
                <w:b/>
                <w:noProof/>
                <w:color w:val="548DD4" w:themeColor="text2" w:themeTint="99"/>
                <w:sz w:val="20"/>
                <w:lang w:val="kk-KZ"/>
              </w:rPr>
              <w:t>РЕСПУБЛИКИ КАЗАХСТАН</w:t>
            </w:r>
          </w:p>
          <w:p w:rsidR="007F754C" w:rsidRPr="0086592A" w:rsidRDefault="007F754C" w:rsidP="00614177">
            <w:pPr>
              <w:jc w:val="center"/>
              <w:rPr>
                <w:b/>
                <w:color w:val="548DD4" w:themeColor="text2" w:themeTint="99"/>
                <w:sz w:val="20"/>
                <w:szCs w:val="20"/>
                <w:lang w:val="kk-KZ"/>
              </w:rPr>
            </w:pPr>
          </w:p>
        </w:tc>
      </w:tr>
      <w:tr w:rsidR="00C370A0" w:rsidRPr="0086592A" w:rsidTr="00614177">
        <w:tc>
          <w:tcPr>
            <w:tcW w:w="3868" w:type="dxa"/>
            <w:tcBorders>
              <w:top w:val="single" w:sz="12" w:space="0" w:color="3333CC"/>
            </w:tcBorders>
          </w:tcPr>
          <w:p w:rsidR="00DE6EA1" w:rsidRPr="0086592A" w:rsidRDefault="00DE6EA1" w:rsidP="00614177">
            <w:pPr>
              <w:pStyle w:val="af2"/>
              <w:tabs>
                <w:tab w:val="clear" w:pos="9355"/>
                <w:tab w:val="left" w:pos="6840"/>
                <w:tab w:val="right" w:pos="10260"/>
              </w:tabs>
              <w:jc w:val="center"/>
              <w:rPr>
                <w:noProof/>
                <w:color w:val="548DD4" w:themeColor="text2" w:themeTint="99"/>
                <w:sz w:val="12"/>
                <w:szCs w:val="12"/>
                <w:lang w:val="kk-KZ"/>
              </w:rPr>
            </w:pPr>
          </w:p>
          <w:p w:rsidR="00725FC0" w:rsidRPr="0086592A" w:rsidRDefault="00725FC0" w:rsidP="00614177">
            <w:pPr>
              <w:pStyle w:val="af2"/>
              <w:tabs>
                <w:tab w:val="clear" w:pos="9355"/>
                <w:tab w:val="left" w:pos="6840"/>
                <w:tab w:val="right" w:pos="10260"/>
              </w:tabs>
              <w:ind w:left="-108"/>
              <w:jc w:val="center"/>
              <w:rPr>
                <w:color w:val="548DD4" w:themeColor="text2" w:themeTint="99"/>
                <w:sz w:val="16"/>
                <w:szCs w:val="12"/>
                <w:lang w:val="kk-KZ"/>
              </w:rPr>
            </w:pPr>
            <w:r w:rsidRPr="0086592A">
              <w:rPr>
                <w:noProof/>
                <w:color w:val="548DD4" w:themeColor="text2" w:themeTint="99"/>
                <w:sz w:val="16"/>
                <w:szCs w:val="12"/>
                <w:lang w:val="kk-KZ"/>
              </w:rPr>
              <w:t xml:space="preserve">010000, </w:t>
            </w:r>
            <w:r w:rsidR="00DE6EA1" w:rsidRPr="0086592A">
              <w:rPr>
                <w:noProof/>
                <w:color w:val="548DD4" w:themeColor="text2" w:themeTint="99"/>
                <w:sz w:val="16"/>
                <w:szCs w:val="12"/>
                <w:lang w:val="kk-KZ"/>
              </w:rPr>
              <w:t>Астана қаласы, Мәңгілік Ел даңғылы, 55/6</w:t>
            </w:r>
          </w:p>
          <w:p w:rsidR="00C370A0" w:rsidRPr="0086592A" w:rsidRDefault="00725FC0" w:rsidP="00614177">
            <w:pPr>
              <w:pStyle w:val="af2"/>
              <w:tabs>
                <w:tab w:val="clear" w:pos="9355"/>
                <w:tab w:val="left" w:pos="6840"/>
                <w:tab w:val="right" w:pos="10260"/>
              </w:tabs>
              <w:ind w:left="-108"/>
              <w:jc w:val="center"/>
              <w:rPr>
                <w:color w:val="548DD4" w:themeColor="text2" w:themeTint="99"/>
                <w:sz w:val="12"/>
                <w:szCs w:val="12"/>
                <w:lang w:val="kk-KZ"/>
              </w:rPr>
            </w:pPr>
            <w:r w:rsidRPr="0086592A">
              <w:rPr>
                <w:noProof/>
                <w:color w:val="548DD4" w:themeColor="text2" w:themeTint="99"/>
                <w:sz w:val="16"/>
                <w:szCs w:val="12"/>
                <w:lang w:val="kk-KZ"/>
              </w:rPr>
              <w:t xml:space="preserve">тел: 8 (7172) </w:t>
            </w:r>
            <w:r w:rsidR="00DE6EA1" w:rsidRPr="0086592A">
              <w:rPr>
                <w:noProof/>
                <w:color w:val="548DD4" w:themeColor="text2" w:themeTint="99"/>
                <w:sz w:val="16"/>
                <w:szCs w:val="12"/>
                <w:lang w:val="kk-KZ"/>
              </w:rPr>
              <w:t>64 97 89</w:t>
            </w:r>
            <w:r w:rsidRPr="0086592A">
              <w:rPr>
                <w:noProof/>
                <w:color w:val="548DD4" w:themeColor="text2" w:themeTint="99"/>
                <w:sz w:val="16"/>
                <w:szCs w:val="12"/>
                <w:lang w:val="kk-KZ"/>
              </w:rPr>
              <w:t xml:space="preserve">,  8 (7172) </w:t>
            </w:r>
            <w:r w:rsidR="00DE6EA1" w:rsidRPr="0086592A">
              <w:rPr>
                <w:noProof/>
                <w:color w:val="548DD4" w:themeColor="text2" w:themeTint="99"/>
                <w:sz w:val="16"/>
                <w:szCs w:val="12"/>
                <w:lang w:val="kk-KZ"/>
              </w:rPr>
              <w:t>64 97 93</w:t>
            </w:r>
          </w:p>
        </w:tc>
        <w:tc>
          <w:tcPr>
            <w:tcW w:w="2749" w:type="dxa"/>
            <w:gridSpan w:val="3"/>
            <w:tcBorders>
              <w:top w:val="single" w:sz="12" w:space="0" w:color="3333CC"/>
            </w:tcBorders>
          </w:tcPr>
          <w:p w:rsidR="00C370A0" w:rsidRPr="0086592A" w:rsidRDefault="00C370A0" w:rsidP="00614177">
            <w:pPr>
              <w:rPr>
                <w:color w:val="548DD4"/>
                <w:sz w:val="12"/>
                <w:szCs w:val="12"/>
                <w:lang w:val="kk-KZ"/>
              </w:rPr>
            </w:pPr>
          </w:p>
          <w:p w:rsidR="00C370A0" w:rsidRPr="0086592A" w:rsidRDefault="00C370A0" w:rsidP="00614177">
            <w:pPr>
              <w:pStyle w:val="af2"/>
              <w:tabs>
                <w:tab w:val="clear" w:pos="9355"/>
                <w:tab w:val="left" w:pos="6840"/>
                <w:tab w:val="right" w:pos="10260"/>
              </w:tabs>
              <w:rPr>
                <w:color w:val="548DD4"/>
                <w:sz w:val="12"/>
                <w:szCs w:val="12"/>
                <w:lang w:val="kk-KZ"/>
              </w:rPr>
            </w:pPr>
          </w:p>
        </w:tc>
        <w:tc>
          <w:tcPr>
            <w:tcW w:w="3301" w:type="dxa"/>
            <w:tcBorders>
              <w:top w:val="single" w:sz="12" w:space="0" w:color="3333CC"/>
            </w:tcBorders>
          </w:tcPr>
          <w:p w:rsidR="00DE6EA1" w:rsidRPr="0086592A" w:rsidRDefault="00DE6EA1" w:rsidP="00614177">
            <w:pPr>
              <w:pStyle w:val="af2"/>
              <w:tabs>
                <w:tab w:val="clear" w:pos="9355"/>
                <w:tab w:val="left" w:pos="6840"/>
                <w:tab w:val="right" w:pos="10260"/>
              </w:tabs>
              <w:jc w:val="center"/>
              <w:rPr>
                <w:noProof/>
                <w:color w:val="548DD4" w:themeColor="text2" w:themeTint="99"/>
                <w:sz w:val="12"/>
                <w:szCs w:val="12"/>
                <w:lang w:val="kk-KZ"/>
              </w:rPr>
            </w:pPr>
          </w:p>
          <w:p w:rsidR="00725FC0" w:rsidRPr="0086592A" w:rsidRDefault="00725FC0" w:rsidP="00614177">
            <w:pPr>
              <w:pStyle w:val="af2"/>
              <w:tabs>
                <w:tab w:val="clear" w:pos="9355"/>
                <w:tab w:val="left" w:pos="6840"/>
                <w:tab w:val="right" w:pos="10260"/>
              </w:tabs>
              <w:ind w:left="-113"/>
              <w:jc w:val="center"/>
              <w:rPr>
                <w:color w:val="548DD4" w:themeColor="text2" w:themeTint="99"/>
                <w:sz w:val="16"/>
                <w:szCs w:val="12"/>
                <w:lang w:val="kk-KZ"/>
              </w:rPr>
            </w:pPr>
            <w:r w:rsidRPr="0086592A">
              <w:rPr>
                <w:noProof/>
                <w:color w:val="548DD4" w:themeColor="text2" w:themeTint="99"/>
                <w:sz w:val="16"/>
                <w:szCs w:val="12"/>
                <w:lang w:val="kk-KZ"/>
              </w:rPr>
              <w:t xml:space="preserve">010000, город </w:t>
            </w:r>
            <w:r w:rsidR="00DE6EA1" w:rsidRPr="0086592A">
              <w:rPr>
                <w:noProof/>
                <w:color w:val="548DD4" w:themeColor="text2" w:themeTint="99"/>
                <w:sz w:val="16"/>
                <w:szCs w:val="12"/>
                <w:lang w:val="kk-KZ"/>
              </w:rPr>
              <w:t>Астана, проспект Мәңгілік Ел, 55/6</w:t>
            </w:r>
          </w:p>
          <w:p w:rsidR="00C370A0" w:rsidRPr="0086592A" w:rsidRDefault="00725FC0" w:rsidP="00614177">
            <w:pPr>
              <w:pStyle w:val="af2"/>
              <w:tabs>
                <w:tab w:val="clear" w:pos="9355"/>
                <w:tab w:val="left" w:pos="6840"/>
                <w:tab w:val="right" w:pos="10260"/>
              </w:tabs>
              <w:ind w:left="-113"/>
              <w:jc w:val="center"/>
              <w:rPr>
                <w:color w:val="548DD4" w:themeColor="text2" w:themeTint="99"/>
                <w:sz w:val="12"/>
                <w:szCs w:val="12"/>
                <w:lang w:val="kk-KZ"/>
              </w:rPr>
            </w:pPr>
            <w:r w:rsidRPr="0086592A">
              <w:rPr>
                <w:noProof/>
                <w:color w:val="548DD4" w:themeColor="text2" w:themeTint="99"/>
                <w:sz w:val="16"/>
                <w:szCs w:val="12"/>
                <w:lang w:val="kk-KZ"/>
              </w:rPr>
              <w:t xml:space="preserve">         тел: </w:t>
            </w:r>
            <w:r w:rsidR="00DE6EA1" w:rsidRPr="0086592A">
              <w:rPr>
                <w:noProof/>
                <w:color w:val="548DD4" w:themeColor="text2" w:themeTint="99"/>
                <w:sz w:val="16"/>
                <w:szCs w:val="12"/>
                <w:lang w:val="kk-KZ"/>
              </w:rPr>
              <w:t>8 (7172) 64 97 89,  8 (7172) 64 97 93</w:t>
            </w:r>
          </w:p>
        </w:tc>
      </w:tr>
    </w:tbl>
    <w:p w:rsidR="007864B2" w:rsidRPr="0086592A" w:rsidRDefault="007864B2" w:rsidP="007864B2">
      <w:pPr>
        <w:rPr>
          <w:color w:val="548DD4" w:themeColor="text2" w:themeTint="99"/>
          <w:sz w:val="28"/>
          <w:szCs w:val="28"/>
          <w:lang w:val="kk-KZ"/>
        </w:rPr>
      </w:pPr>
      <w:r w:rsidRPr="0086592A">
        <w:rPr>
          <w:color w:val="548DD4" w:themeColor="text2" w:themeTint="99"/>
          <w:sz w:val="28"/>
          <w:szCs w:val="28"/>
          <w:lang w:val="kk-KZ"/>
        </w:rPr>
        <w:t>_____</w:t>
      </w:r>
      <w:r w:rsidR="00725FC0" w:rsidRPr="0086592A">
        <w:rPr>
          <w:color w:val="548DD4" w:themeColor="text2" w:themeTint="99"/>
          <w:sz w:val="16"/>
          <w:szCs w:val="16"/>
          <w:lang w:val="kk-KZ"/>
        </w:rPr>
        <w:t>№</w:t>
      </w:r>
      <w:r w:rsidRPr="0086592A">
        <w:rPr>
          <w:color w:val="548DD4" w:themeColor="text2" w:themeTint="99"/>
          <w:sz w:val="28"/>
          <w:szCs w:val="28"/>
          <w:lang w:val="kk-KZ"/>
        </w:rPr>
        <w:t>__________</w:t>
      </w:r>
      <w:r w:rsidR="009E02E9" w:rsidRPr="0086592A">
        <w:rPr>
          <w:color w:val="548DD4" w:themeColor="text2" w:themeTint="99"/>
          <w:sz w:val="28"/>
          <w:szCs w:val="28"/>
          <w:lang w:val="kk-KZ"/>
        </w:rPr>
        <w:t>_____</w:t>
      </w:r>
    </w:p>
    <w:p w:rsidR="009E02E9" w:rsidRPr="0086592A" w:rsidRDefault="009E02E9" w:rsidP="007864B2">
      <w:pPr>
        <w:rPr>
          <w:color w:val="548DD4" w:themeColor="text2" w:themeTint="99"/>
          <w:sz w:val="28"/>
          <w:szCs w:val="28"/>
          <w:lang w:val="kk-KZ"/>
        </w:rPr>
      </w:pPr>
      <w:r w:rsidRPr="0086592A">
        <w:rPr>
          <w:color w:val="548DD4" w:themeColor="text2" w:themeTint="99"/>
          <w:sz w:val="28"/>
          <w:szCs w:val="28"/>
          <w:lang w:val="kk-KZ"/>
        </w:rPr>
        <w:t>_____________________</w:t>
      </w:r>
    </w:p>
    <w:p w:rsidR="00864C93" w:rsidRPr="0086592A" w:rsidRDefault="00864C93" w:rsidP="00864C93">
      <w:pPr>
        <w:ind w:left="6379"/>
        <w:rPr>
          <w:b/>
          <w:sz w:val="28"/>
          <w:szCs w:val="28"/>
          <w:lang w:val="kk-KZ"/>
        </w:rPr>
      </w:pPr>
      <w:r w:rsidRPr="0086592A">
        <w:rPr>
          <w:b/>
          <w:sz w:val="28"/>
          <w:szCs w:val="28"/>
          <w:lang w:val="kk-KZ"/>
        </w:rPr>
        <w:t xml:space="preserve">Қазақстан Республикасы Парламенті Мәжілісінің депутаты </w:t>
      </w:r>
    </w:p>
    <w:p w:rsidR="00864C93" w:rsidRPr="0086592A" w:rsidRDefault="00864C93" w:rsidP="00864C93">
      <w:pPr>
        <w:ind w:left="6379"/>
        <w:rPr>
          <w:b/>
          <w:sz w:val="28"/>
          <w:szCs w:val="28"/>
          <w:lang w:val="kk-KZ"/>
        </w:rPr>
      </w:pPr>
      <w:r w:rsidRPr="0086592A">
        <w:rPr>
          <w:b/>
          <w:sz w:val="28"/>
          <w:szCs w:val="28"/>
          <w:lang w:val="kk-KZ"/>
        </w:rPr>
        <w:t>Е.С. Бейсенбаевқа</w:t>
      </w:r>
    </w:p>
    <w:p w:rsidR="00864C93" w:rsidRPr="0086592A" w:rsidRDefault="00864C93" w:rsidP="00864C93">
      <w:pPr>
        <w:tabs>
          <w:tab w:val="left" w:pos="5812"/>
        </w:tabs>
        <w:ind w:left="5387" w:right="-1"/>
        <w:rPr>
          <w:b/>
          <w:i/>
          <w:color w:val="000000" w:themeColor="text1"/>
          <w:sz w:val="28"/>
          <w:lang w:val="kk-KZ"/>
        </w:rPr>
      </w:pPr>
    </w:p>
    <w:p w:rsidR="00864C93" w:rsidRPr="0086592A" w:rsidRDefault="00864C93" w:rsidP="00864C93">
      <w:pPr>
        <w:ind w:left="851" w:right="-1" w:hanging="2"/>
        <w:rPr>
          <w:i/>
          <w:color w:val="000000"/>
          <w:szCs w:val="28"/>
          <w:lang w:val="kk-KZ"/>
        </w:rPr>
      </w:pPr>
      <w:r w:rsidRPr="0086592A">
        <w:rPr>
          <w:i/>
          <w:color w:val="000000"/>
          <w:szCs w:val="28"/>
          <w:lang w:val="kk-KZ"/>
        </w:rPr>
        <w:t>2023 жылғы 28 сәуірдегі</w:t>
      </w:r>
    </w:p>
    <w:p w:rsidR="00864C93" w:rsidRPr="0086592A" w:rsidRDefault="00864C93" w:rsidP="00864C93">
      <w:pPr>
        <w:ind w:left="851" w:right="-1" w:hanging="2"/>
        <w:rPr>
          <w:i/>
          <w:color w:val="000000" w:themeColor="text1"/>
          <w:lang w:val="kk-KZ"/>
        </w:rPr>
      </w:pPr>
      <w:r w:rsidRPr="0086592A">
        <w:rPr>
          <w:i/>
          <w:color w:val="000000"/>
          <w:szCs w:val="28"/>
          <w:lang w:val="kk-KZ"/>
        </w:rPr>
        <w:t>№</w:t>
      </w:r>
      <w:r w:rsidR="00EF4F21" w:rsidRPr="0086592A">
        <w:rPr>
          <w:i/>
          <w:color w:val="000000"/>
          <w:szCs w:val="28"/>
          <w:lang w:val="kk-KZ"/>
        </w:rPr>
        <w:t xml:space="preserve"> </w:t>
      </w:r>
      <w:r w:rsidRPr="0086592A">
        <w:rPr>
          <w:i/>
          <w:color w:val="000000" w:themeColor="text1"/>
          <w:lang w:val="kk-KZ"/>
        </w:rPr>
        <w:t>ДС-118</w:t>
      </w:r>
    </w:p>
    <w:p w:rsidR="00864C93" w:rsidRPr="0086592A" w:rsidRDefault="00864C93" w:rsidP="00864C93">
      <w:pPr>
        <w:ind w:left="5114" w:right="-1" w:hanging="2"/>
        <w:jc w:val="right"/>
        <w:rPr>
          <w:b/>
          <w:color w:val="000000" w:themeColor="text1"/>
          <w:sz w:val="28"/>
          <w:szCs w:val="28"/>
          <w:lang w:val="kk-KZ"/>
        </w:rPr>
      </w:pPr>
    </w:p>
    <w:p w:rsidR="00864C93" w:rsidRPr="0086592A" w:rsidRDefault="0086592A" w:rsidP="00864C93">
      <w:pPr>
        <w:jc w:val="center"/>
        <w:rPr>
          <w:b/>
          <w:sz w:val="28"/>
          <w:szCs w:val="28"/>
          <w:lang w:val="kk-KZ"/>
        </w:rPr>
      </w:pPr>
      <w:r>
        <w:rPr>
          <w:b/>
          <w:sz w:val="28"/>
          <w:szCs w:val="28"/>
          <w:lang w:val="kk-KZ"/>
        </w:rPr>
        <w:t>Құрметті Елнұ</w:t>
      </w:r>
      <w:r w:rsidR="00864C93" w:rsidRPr="0086592A">
        <w:rPr>
          <w:b/>
          <w:sz w:val="28"/>
          <w:szCs w:val="28"/>
          <w:lang w:val="kk-KZ"/>
        </w:rPr>
        <w:t>р Сабыржанұлы!</w:t>
      </w:r>
    </w:p>
    <w:p w:rsidR="00864C93" w:rsidRPr="0086592A" w:rsidRDefault="00864C93" w:rsidP="00864C93">
      <w:pPr>
        <w:pBdr>
          <w:bottom w:val="single" w:sz="4" w:space="0" w:color="FFFFFF"/>
        </w:pBdr>
        <w:autoSpaceDE w:val="0"/>
        <w:autoSpaceDN w:val="0"/>
        <w:adjustRightInd w:val="0"/>
        <w:ind w:firstLine="709"/>
        <w:jc w:val="both"/>
        <w:rPr>
          <w:color w:val="000000" w:themeColor="text1"/>
          <w:sz w:val="28"/>
          <w:szCs w:val="28"/>
          <w:lang w:val="kk-KZ"/>
        </w:rPr>
      </w:pPr>
    </w:p>
    <w:p w:rsidR="00864C93" w:rsidRPr="0086592A" w:rsidRDefault="00864C93" w:rsidP="00864C93">
      <w:pPr>
        <w:jc w:val="both"/>
        <w:rPr>
          <w:sz w:val="28"/>
          <w:szCs w:val="28"/>
          <w:lang w:val="kk-KZ"/>
        </w:rPr>
      </w:pPr>
      <w:r w:rsidRPr="0086592A">
        <w:rPr>
          <w:sz w:val="28"/>
          <w:szCs w:val="28"/>
          <w:lang w:val="kk-KZ"/>
        </w:rPr>
        <w:tab/>
        <w:t xml:space="preserve">Қазақстан Республикасының Стратегиялық жоспарлау және реформалар агенттігі (бұдан әрі – СЖжРА) мемлекеттік статистика </w:t>
      </w:r>
      <w:r w:rsidR="0086592A">
        <w:rPr>
          <w:sz w:val="28"/>
          <w:szCs w:val="28"/>
          <w:lang w:val="kk-KZ"/>
        </w:rPr>
        <w:t>бойынша</w:t>
      </w:r>
      <w:r w:rsidRPr="0086592A">
        <w:rPr>
          <w:sz w:val="28"/>
          <w:szCs w:val="28"/>
          <w:lang w:val="kk-KZ"/>
        </w:rPr>
        <w:t xml:space="preserve"> уәкілетті орган ретінде әртүрлі салалар</w:t>
      </w:r>
      <w:r w:rsidR="0086592A">
        <w:rPr>
          <w:sz w:val="28"/>
          <w:szCs w:val="28"/>
          <w:lang w:val="kk-KZ"/>
        </w:rPr>
        <w:t>, соның ішінде</w:t>
      </w:r>
      <w:r w:rsidRPr="0086592A">
        <w:rPr>
          <w:sz w:val="28"/>
          <w:szCs w:val="28"/>
          <w:lang w:val="kk-KZ"/>
        </w:rPr>
        <w:t xml:space="preserve"> </w:t>
      </w:r>
      <w:r w:rsidR="0086592A">
        <w:rPr>
          <w:sz w:val="28"/>
          <w:szCs w:val="28"/>
          <w:lang w:val="kk-KZ"/>
        </w:rPr>
        <w:t>баға</w:t>
      </w:r>
      <w:r w:rsidR="0086592A" w:rsidRPr="0086592A">
        <w:rPr>
          <w:sz w:val="28"/>
          <w:szCs w:val="28"/>
          <w:lang w:val="kk-KZ"/>
        </w:rPr>
        <w:t>, жалақы және халықты жұмыспен қамту</w:t>
      </w:r>
      <w:r w:rsidR="0086592A">
        <w:rPr>
          <w:sz w:val="28"/>
          <w:szCs w:val="28"/>
          <w:lang w:val="kk-KZ"/>
        </w:rPr>
        <w:t xml:space="preserve"> жөнінде </w:t>
      </w:r>
      <w:r w:rsidRPr="0086592A">
        <w:rPr>
          <w:sz w:val="28"/>
          <w:szCs w:val="28"/>
          <w:lang w:val="kk-KZ"/>
        </w:rPr>
        <w:t>ресми ақпаратты қалыптастырады.</w:t>
      </w:r>
    </w:p>
    <w:p w:rsidR="00864C93" w:rsidRPr="0086592A" w:rsidRDefault="00864C93" w:rsidP="00864C93">
      <w:pPr>
        <w:jc w:val="both"/>
        <w:rPr>
          <w:sz w:val="28"/>
          <w:szCs w:val="28"/>
          <w:lang w:val="kk-KZ"/>
        </w:rPr>
      </w:pPr>
      <w:r w:rsidRPr="0086592A">
        <w:rPr>
          <w:sz w:val="28"/>
          <w:szCs w:val="28"/>
          <w:lang w:val="kk-KZ"/>
        </w:rPr>
        <w:tab/>
        <w:t xml:space="preserve">Статистикалық өндіріс </w:t>
      </w:r>
      <w:r w:rsidR="0086592A">
        <w:rPr>
          <w:sz w:val="28"/>
          <w:szCs w:val="28"/>
          <w:lang w:val="kk-KZ"/>
        </w:rPr>
        <w:t>процесін</w:t>
      </w:r>
      <w:r w:rsidRPr="0086592A">
        <w:rPr>
          <w:sz w:val="28"/>
          <w:szCs w:val="28"/>
          <w:lang w:val="kk-KZ"/>
        </w:rPr>
        <w:t xml:space="preserve"> жетілдіру және ресми статистикаға сенімді арттыру мақсатында Мемлекет басшысының 2022 жылғы </w:t>
      </w:r>
      <w:r w:rsidR="003D31A3">
        <w:rPr>
          <w:sz w:val="28"/>
          <w:szCs w:val="28"/>
          <w:lang w:val="kk-KZ"/>
        </w:rPr>
        <w:br/>
      </w:r>
      <w:r w:rsidRPr="0086592A">
        <w:rPr>
          <w:sz w:val="28"/>
          <w:szCs w:val="28"/>
          <w:lang w:val="kk-KZ"/>
        </w:rPr>
        <w:t>29 желтоқ</w:t>
      </w:r>
      <w:r w:rsidR="0086592A">
        <w:rPr>
          <w:sz w:val="28"/>
          <w:szCs w:val="28"/>
          <w:lang w:val="kk-KZ"/>
        </w:rPr>
        <w:t>сандағы № 22-6306-01 тапсырмасы және</w:t>
      </w:r>
      <w:r w:rsidRPr="0086592A">
        <w:rPr>
          <w:sz w:val="28"/>
          <w:szCs w:val="28"/>
          <w:lang w:val="kk-KZ"/>
        </w:rPr>
        <w:t xml:space="preserve"> </w:t>
      </w:r>
      <w:r w:rsidR="0086592A">
        <w:rPr>
          <w:sz w:val="28"/>
          <w:szCs w:val="28"/>
          <w:lang w:val="kk-KZ"/>
        </w:rPr>
        <w:t>осы тапсырманы іске</w:t>
      </w:r>
      <w:r w:rsidRPr="0086592A">
        <w:rPr>
          <w:sz w:val="28"/>
          <w:szCs w:val="28"/>
          <w:lang w:val="kk-KZ"/>
        </w:rPr>
        <w:t xml:space="preserve"> асыру үшін СЖжРА қабылдаған Жол картасы</w:t>
      </w:r>
      <w:r w:rsidR="0086592A">
        <w:rPr>
          <w:sz w:val="28"/>
          <w:szCs w:val="28"/>
          <w:lang w:val="kk-KZ"/>
        </w:rPr>
        <w:t xml:space="preserve"> </w:t>
      </w:r>
      <w:r w:rsidRPr="0086592A">
        <w:rPr>
          <w:sz w:val="28"/>
          <w:szCs w:val="28"/>
          <w:lang w:val="kk-KZ"/>
        </w:rPr>
        <w:t>шеңберінде кешенді шаралар қабылдануда.</w:t>
      </w:r>
    </w:p>
    <w:p w:rsidR="00864C93" w:rsidRPr="0086592A" w:rsidRDefault="00864C93" w:rsidP="00864C93">
      <w:pPr>
        <w:jc w:val="both"/>
        <w:rPr>
          <w:b/>
          <w:i/>
          <w:sz w:val="28"/>
          <w:szCs w:val="28"/>
          <w:lang w:val="kk-KZ"/>
        </w:rPr>
      </w:pPr>
      <w:r w:rsidRPr="0086592A">
        <w:rPr>
          <w:b/>
          <w:i/>
          <w:sz w:val="28"/>
          <w:szCs w:val="28"/>
          <w:lang w:val="kk-KZ"/>
        </w:rPr>
        <w:tab/>
        <w:t xml:space="preserve">1. </w:t>
      </w:r>
      <w:r w:rsidRPr="0086592A">
        <w:rPr>
          <w:b/>
          <w:i/>
          <w:sz w:val="28"/>
          <w:szCs w:val="28"/>
          <w:lang w:val="kk-KZ"/>
        </w:rPr>
        <w:tab/>
        <w:t>Инфляция мен баға деңгейіне қатысты.</w:t>
      </w:r>
    </w:p>
    <w:p w:rsidR="00864C93" w:rsidRPr="0086592A" w:rsidRDefault="00864C93" w:rsidP="00864C93">
      <w:pPr>
        <w:jc w:val="both"/>
        <w:rPr>
          <w:sz w:val="28"/>
          <w:szCs w:val="28"/>
          <w:lang w:val="kk-KZ"/>
        </w:rPr>
      </w:pPr>
      <w:r w:rsidRPr="0086592A">
        <w:rPr>
          <w:sz w:val="28"/>
          <w:szCs w:val="28"/>
          <w:lang w:val="kk-KZ"/>
        </w:rPr>
        <w:tab/>
        <w:t xml:space="preserve">Инфляцияны қалыптастыру кезінде </w:t>
      </w:r>
      <w:r w:rsidR="00A84653">
        <w:rPr>
          <w:sz w:val="28"/>
          <w:szCs w:val="28"/>
          <w:lang w:val="kk-KZ"/>
        </w:rPr>
        <w:t xml:space="preserve">Қазақстанда </w:t>
      </w:r>
      <w:r w:rsidRPr="0086592A">
        <w:rPr>
          <w:sz w:val="28"/>
          <w:szCs w:val="28"/>
          <w:lang w:val="kk-KZ"/>
        </w:rPr>
        <w:t xml:space="preserve">халықаралық стандарттарға сәйкес </w:t>
      </w:r>
      <w:r w:rsidR="00A84653" w:rsidRPr="0086592A">
        <w:rPr>
          <w:sz w:val="28"/>
          <w:szCs w:val="28"/>
          <w:lang w:val="kk-KZ"/>
        </w:rPr>
        <w:t xml:space="preserve">508 тауар мен қызмет түрі бойынша </w:t>
      </w:r>
      <w:r w:rsidRPr="0086592A">
        <w:rPr>
          <w:sz w:val="28"/>
          <w:szCs w:val="28"/>
          <w:lang w:val="kk-KZ"/>
        </w:rPr>
        <w:t>баға</w:t>
      </w:r>
      <w:r w:rsidR="00A84653">
        <w:rPr>
          <w:sz w:val="28"/>
          <w:szCs w:val="28"/>
          <w:lang w:val="kk-KZ"/>
        </w:rPr>
        <w:t>ға</w:t>
      </w:r>
      <w:r w:rsidRPr="0086592A">
        <w:rPr>
          <w:sz w:val="28"/>
          <w:szCs w:val="28"/>
          <w:lang w:val="kk-KZ"/>
        </w:rPr>
        <w:t xml:space="preserve"> мониторинг жүргізіледі. </w:t>
      </w:r>
      <w:r w:rsidR="00CC6ADC" w:rsidRPr="0086592A">
        <w:rPr>
          <w:sz w:val="28"/>
          <w:szCs w:val="28"/>
          <w:lang w:val="kk-KZ"/>
        </w:rPr>
        <w:t xml:space="preserve">СЖжРА </w:t>
      </w:r>
      <w:r w:rsidRPr="0086592A">
        <w:rPr>
          <w:sz w:val="28"/>
          <w:szCs w:val="28"/>
          <w:lang w:val="kk-KZ"/>
        </w:rPr>
        <w:t xml:space="preserve">Ұлттық статистика бюросының </w:t>
      </w:r>
      <w:r w:rsidR="00CC6ADC" w:rsidRPr="0086592A">
        <w:rPr>
          <w:sz w:val="28"/>
          <w:szCs w:val="28"/>
          <w:lang w:val="kk-KZ"/>
        </w:rPr>
        <w:t xml:space="preserve">(бұдан әрі – Бюро) </w:t>
      </w:r>
      <w:r w:rsidRPr="0086592A">
        <w:rPr>
          <w:sz w:val="28"/>
          <w:szCs w:val="28"/>
          <w:lang w:val="kk-KZ"/>
        </w:rPr>
        <w:t xml:space="preserve">қызметкерлері </w:t>
      </w:r>
      <w:r w:rsidR="00A84653">
        <w:rPr>
          <w:sz w:val="28"/>
          <w:szCs w:val="28"/>
          <w:lang w:val="kk-KZ"/>
        </w:rPr>
        <w:t>а</w:t>
      </w:r>
      <w:r w:rsidR="00A84653" w:rsidRPr="0086592A">
        <w:rPr>
          <w:sz w:val="28"/>
          <w:szCs w:val="28"/>
          <w:lang w:val="kk-KZ"/>
        </w:rPr>
        <w:t xml:space="preserve">й сайын әртүрлі </w:t>
      </w:r>
      <w:r w:rsidRPr="0086592A">
        <w:rPr>
          <w:sz w:val="28"/>
          <w:szCs w:val="28"/>
          <w:lang w:val="kk-KZ"/>
        </w:rPr>
        <w:t>елді мекен</w:t>
      </w:r>
      <w:r w:rsidR="00A84653">
        <w:rPr>
          <w:sz w:val="28"/>
          <w:szCs w:val="28"/>
          <w:lang w:val="kk-KZ"/>
        </w:rPr>
        <w:t>нің түрлік бөліктерінде</w:t>
      </w:r>
      <w:r w:rsidRPr="0086592A">
        <w:rPr>
          <w:sz w:val="28"/>
          <w:szCs w:val="28"/>
          <w:lang w:val="kk-KZ"/>
        </w:rPr>
        <w:t xml:space="preserve"> орналасқан, тауарлар</w:t>
      </w:r>
      <w:r w:rsidR="00A84653">
        <w:rPr>
          <w:sz w:val="28"/>
          <w:szCs w:val="28"/>
          <w:lang w:val="kk-KZ"/>
        </w:rPr>
        <w:t>ының</w:t>
      </w:r>
      <w:r w:rsidRPr="0086592A">
        <w:rPr>
          <w:sz w:val="28"/>
          <w:szCs w:val="28"/>
          <w:lang w:val="kk-KZ"/>
        </w:rPr>
        <w:t xml:space="preserve"> ассортименті </w:t>
      </w:r>
      <w:r w:rsidR="00A84653" w:rsidRPr="0086592A">
        <w:rPr>
          <w:sz w:val="28"/>
          <w:szCs w:val="28"/>
          <w:lang w:val="kk-KZ"/>
        </w:rPr>
        <w:t xml:space="preserve">кең </w:t>
      </w:r>
      <w:r w:rsidRPr="0086592A">
        <w:rPr>
          <w:sz w:val="28"/>
          <w:szCs w:val="28"/>
          <w:lang w:val="kk-KZ"/>
        </w:rPr>
        <w:t xml:space="preserve">сауда объектілерінің </w:t>
      </w:r>
      <w:r w:rsidR="00A84653">
        <w:rPr>
          <w:sz w:val="28"/>
          <w:szCs w:val="28"/>
          <w:lang w:val="kk-KZ"/>
        </w:rPr>
        <w:t>іріктемелі</w:t>
      </w:r>
      <w:r w:rsidRPr="0086592A">
        <w:rPr>
          <w:sz w:val="28"/>
          <w:szCs w:val="28"/>
          <w:lang w:val="kk-KZ"/>
        </w:rPr>
        <w:t xml:space="preserve"> шеңбері (сауда желілері, базарлар, үй қасындағы дүкендер) </w:t>
      </w:r>
      <w:r w:rsidR="00A84653" w:rsidRPr="0086592A">
        <w:rPr>
          <w:sz w:val="28"/>
          <w:szCs w:val="28"/>
          <w:lang w:val="kk-KZ"/>
        </w:rPr>
        <w:t xml:space="preserve">бойынша </w:t>
      </w:r>
      <w:r w:rsidRPr="0086592A">
        <w:rPr>
          <w:sz w:val="28"/>
          <w:szCs w:val="28"/>
          <w:lang w:val="kk-KZ"/>
        </w:rPr>
        <w:t>бағаларды тіркейді.</w:t>
      </w:r>
    </w:p>
    <w:p w:rsidR="00864C93" w:rsidRPr="0086592A" w:rsidRDefault="00864C93" w:rsidP="00864C93">
      <w:pPr>
        <w:jc w:val="both"/>
        <w:rPr>
          <w:sz w:val="28"/>
          <w:szCs w:val="28"/>
          <w:lang w:val="kk-KZ"/>
        </w:rPr>
      </w:pPr>
      <w:r w:rsidRPr="0086592A">
        <w:rPr>
          <w:sz w:val="28"/>
          <w:szCs w:val="28"/>
          <w:lang w:val="kk-KZ"/>
        </w:rPr>
        <w:tab/>
        <w:t>Осылайша</w:t>
      </w:r>
      <w:r w:rsidR="00A84653">
        <w:rPr>
          <w:sz w:val="28"/>
          <w:szCs w:val="28"/>
          <w:lang w:val="kk-KZ"/>
        </w:rPr>
        <w:t>,</w:t>
      </w:r>
      <w:r w:rsidRPr="0086592A">
        <w:rPr>
          <w:sz w:val="28"/>
          <w:szCs w:val="28"/>
          <w:lang w:val="kk-KZ"/>
        </w:rPr>
        <w:t xml:space="preserve"> Қазақстан Республикасының </w:t>
      </w:r>
      <w:r w:rsidR="00A84653">
        <w:rPr>
          <w:sz w:val="28"/>
          <w:szCs w:val="28"/>
          <w:lang w:val="kk-KZ"/>
        </w:rPr>
        <w:t>барлық</w:t>
      </w:r>
      <w:r w:rsidRPr="0086592A">
        <w:rPr>
          <w:sz w:val="28"/>
          <w:szCs w:val="28"/>
          <w:lang w:val="kk-KZ"/>
        </w:rPr>
        <w:t xml:space="preserve"> аумағы бойынша 85 елді мекендегі 12 мыңнан астам сауда объекті</w:t>
      </w:r>
      <w:r w:rsidR="00A84653">
        <w:rPr>
          <w:sz w:val="28"/>
          <w:szCs w:val="28"/>
          <w:lang w:val="kk-KZ"/>
        </w:rPr>
        <w:t>сі</w:t>
      </w:r>
      <w:r w:rsidRPr="0086592A">
        <w:rPr>
          <w:sz w:val="28"/>
          <w:szCs w:val="28"/>
          <w:lang w:val="kk-KZ"/>
        </w:rPr>
        <w:t xml:space="preserve"> тұрақты зерттеулерге қатысады.</w:t>
      </w:r>
    </w:p>
    <w:p w:rsidR="00864C93" w:rsidRPr="0086592A" w:rsidRDefault="00864C93" w:rsidP="00864C93">
      <w:pPr>
        <w:jc w:val="both"/>
        <w:rPr>
          <w:sz w:val="28"/>
          <w:szCs w:val="28"/>
          <w:lang w:val="kk-KZ"/>
        </w:rPr>
      </w:pPr>
      <w:r w:rsidRPr="0086592A">
        <w:rPr>
          <w:sz w:val="28"/>
          <w:szCs w:val="28"/>
          <w:lang w:val="kk-KZ"/>
        </w:rPr>
        <w:tab/>
        <w:t>Инфляция</w:t>
      </w:r>
      <w:r w:rsidR="00AF168A">
        <w:rPr>
          <w:sz w:val="28"/>
          <w:szCs w:val="28"/>
          <w:lang w:val="kk-KZ"/>
        </w:rPr>
        <w:t>ны</w:t>
      </w:r>
      <w:r w:rsidRPr="0086592A">
        <w:rPr>
          <w:sz w:val="28"/>
          <w:szCs w:val="28"/>
          <w:lang w:val="kk-KZ"/>
        </w:rPr>
        <w:t xml:space="preserve"> есе</w:t>
      </w:r>
      <w:r w:rsidR="00AF168A">
        <w:rPr>
          <w:sz w:val="28"/>
          <w:szCs w:val="28"/>
          <w:lang w:val="kk-KZ"/>
        </w:rPr>
        <w:t>птеуді</w:t>
      </w:r>
      <w:r w:rsidRPr="0086592A">
        <w:rPr>
          <w:sz w:val="28"/>
          <w:szCs w:val="28"/>
          <w:lang w:val="kk-KZ"/>
        </w:rPr>
        <w:t xml:space="preserve"> түсіндіру үшін Астана қаласы бойынша басты пиязға (бұдан әрі </w:t>
      </w:r>
      <w:r w:rsidR="00E604AD" w:rsidRPr="0086592A">
        <w:rPr>
          <w:sz w:val="28"/>
          <w:szCs w:val="28"/>
          <w:lang w:val="kk-KZ"/>
        </w:rPr>
        <w:t>–</w:t>
      </w:r>
      <w:r w:rsidRPr="0086592A">
        <w:rPr>
          <w:sz w:val="28"/>
          <w:szCs w:val="28"/>
          <w:lang w:val="kk-KZ"/>
        </w:rPr>
        <w:t xml:space="preserve"> пияз) негізделген мысал келтірейік.</w:t>
      </w:r>
    </w:p>
    <w:p w:rsidR="00864C93" w:rsidRPr="0086592A" w:rsidRDefault="00864C93" w:rsidP="00864C93">
      <w:pPr>
        <w:jc w:val="both"/>
        <w:rPr>
          <w:sz w:val="28"/>
          <w:szCs w:val="28"/>
          <w:lang w:val="kk-KZ"/>
        </w:rPr>
      </w:pPr>
      <w:r w:rsidRPr="0086592A">
        <w:rPr>
          <w:sz w:val="28"/>
          <w:szCs w:val="28"/>
          <w:lang w:val="kk-KZ"/>
        </w:rPr>
        <w:tab/>
        <w:t xml:space="preserve">Астана қаласы бойынша байқауға барлығы 426 базалық </w:t>
      </w:r>
      <w:r w:rsidR="00AF168A">
        <w:rPr>
          <w:sz w:val="28"/>
          <w:szCs w:val="28"/>
          <w:lang w:val="kk-KZ"/>
        </w:rPr>
        <w:t>объект</w:t>
      </w:r>
      <w:r w:rsidRPr="0086592A">
        <w:rPr>
          <w:sz w:val="28"/>
          <w:szCs w:val="28"/>
          <w:lang w:val="kk-KZ"/>
        </w:rPr>
        <w:t xml:space="preserve"> қатысады, онда 508 тауар мен қызметтің бағасы байқалады, оның ішінде 12 нысанда </w:t>
      </w:r>
      <w:r w:rsidR="00AF168A" w:rsidRPr="0086592A">
        <w:rPr>
          <w:sz w:val="28"/>
          <w:szCs w:val="28"/>
          <w:lang w:val="kk-KZ"/>
        </w:rPr>
        <w:t>пияздың бағасы</w:t>
      </w:r>
      <w:r w:rsidR="00AF168A">
        <w:rPr>
          <w:sz w:val="28"/>
          <w:szCs w:val="28"/>
          <w:lang w:val="kk-KZ"/>
        </w:rPr>
        <w:t>на</w:t>
      </w:r>
      <w:r w:rsidR="00AF168A" w:rsidRPr="0086592A">
        <w:rPr>
          <w:sz w:val="28"/>
          <w:szCs w:val="28"/>
          <w:lang w:val="kk-KZ"/>
        </w:rPr>
        <w:t xml:space="preserve"> </w:t>
      </w:r>
      <w:r w:rsidRPr="0086592A">
        <w:rPr>
          <w:sz w:val="28"/>
          <w:szCs w:val="28"/>
          <w:lang w:val="kk-KZ"/>
        </w:rPr>
        <w:t>байқа</w:t>
      </w:r>
      <w:r w:rsidR="00AF168A">
        <w:rPr>
          <w:sz w:val="28"/>
          <w:szCs w:val="28"/>
          <w:lang w:val="kk-KZ"/>
        </w:rPr>
        <w:t>у жүргізіледі</w:t>
      </w:r>
      <w:r w:rsidRPr="0086592A">
        <w:rPr>
          <w:sz w:val="28"/>
          <w:szCs w:val="28"/>
          <w:lang w:val="kk-KZ"/>
        </w:rPr>
        <w:t>. Ағымдағы жылғы сәуір айының соңына осы 12 сауда обьекті</w:t>
      </w:r>
      <w:r w:rsidR="00AC20F2">
        <w:rPr>
          <w:sz w:val="28"/>
          <w:szCs w:val="28"/>
          <w:lang w:val="kk-KZ"/>
        </w:rPr>
        <w:t>сінде</w:t>
      </w:r>
      <w:r w:rsidRPr="0086592A">
        <w:rPr>
          <w:sz w:val="28"/>
          <w:szCs w:val="28"/>
          <w:lang w:val="kk-KZ"/>
        </w:rPr>
        <w:t xml:space="preserve"> пияз бағасының диапазоны килогра</w:t>
      </w:r>
      <w:r w:rsidR="00AC20F2">
        <w:rPr>
          <w:sz w:val="28"/>
          <w:szCs w:val="28"/>
          <w:lang w:val="kk-KZ"/>
        </w:rPr>
        <w:t>м</w:t>
      </w:r>
      <w:r w:rsidRPr="0086592A">
        <w:rPr>
          <w:sz w:val="28"/>
          <w:szCs w:val="28"/>
          <w:lang w:val="kk-KZ"/>
        </w:rPr>
        <w:t>мына</w:t>
      </w:r>
      <w:r w:rsidR="003D31A3">
        <w:rPr>
          <w:sz w:val="28"/>
          <w:szCs w:val="28"/>
          <w:lang w:val="kk-KZ"/>
        </w:rPr>
        <w:br/>
      </w:r>
      <w:r w:rsidRPr="0086592A">
        <w:rPr>
          <w:sz w:val="28"/>
          <w:szCs w:val="28"/>
          <w:lang w:val="kk-KZ"/>
        </w:rPr>
        <w:t>151 теңгеден</w:t>
      </w:r>
      <w:r w:rsidR="00AC20F2">
        <w:rPr>
          <w:sz w:val="28"/>
          <w:szCs w:val="28"/>
          <w:lang w:val="kk-KZ"/>
        </w:rPr>
        <w:t xml:space="preserve"> </w:t>
      </w:r>
      <w:r w:rsidRPr="0086592A">
        <w:rPr>
          <w:sz w:val="28"/>
          <w:szCs w:val="28"/>
          <w:lang w:val="kk-KZ"/>
        </w:rPr>
        <w:t xml:space="preserve">300 теңгеге дейінгі аралықта болды. Нәтижесінде ағымдағы жылғы </w:t>
      </w:r>
      <w:r w:rsidR="00AC20F2" w:rsidRPr="0086592A">
        <w:rPr>
          <w:sz w:val="28"/>
          <w:szCs w:val="28"/>
          <w:lang w:val="kk-KZ"/>
        </w:rPr>
        <w:t xml:space="preserve">сәуір айының соңына </w:t>
      </w:r>
      <w:r w:rsidRPr="0086592A">
        <w:rPr>
          <w:sz w:val="28"/>
          <w:szCs w:val="28"/>
          <w:lang w:val="kk-KZ"/>
        </w:rPr>
        <w:t xml:space="preserve">Астана қаласы бойынша пияздың орташа бағасы </w:t>
      </w:r>
      <w:r w:rsidRPr="0086592A">
        <w:rPr>
          <w:sz w:val="28"/>
          <w:szCs w:val="28"/>
          <w:lang w:val="kk-KZ"/>
        </w:rPr>
        <w:lastRenderedPageBreak/>
        <w:t>килогра</w:t>
      </w:r>
      <w:r w:rsidR="00AC20F2">
        <w:rPr>
          <w:sz w:val="28"/>
          <w:szCs w:val="28"/>
          <w:lang w:val="kk-KZ"/>
        </w:rPr>
        <w:t>м</w:t>
      </w:r>
      <w:r w:rsidRPr="0086592A">
        <w:rPr>
          <w:sz w:val="28"/>
          <w:szCs w:val="28"/>
          <w:lang w:val="kk-KZ"/>
        </w:rPr>
        <w:t xml:space="preserve">мына 202 теңгені құрады. 2022 жылғы сәуірмен салыстырғанда Астана қаласында </w:t>
      </w:r>
      <w:r w:rsidR="00AC20F2">
        <w:rPr>
          <w:sz w:val="28"/>
          <w:szCs w:val="28"/>
          <w:lang w:val="kk-KZ"/>
        </w:rPr>
        <w:t>пияздың</w:t>
      </w:r>
      <w:r w:rsidR="00AC20F2" w:rsidRPr="0086592A">
        <w:rPr>
          <w:sz w:val="28"/>
          <w:szCs w:val="28"/>
          <w:lang w:val="kk-KZ"/>
        </w:rPr>
        <w:t xml:space="preserve"> </w:t>
      </w:r>
      <w:r w:rsidRPr="0086592A">
        <w:rPr>
          <w:sz w:val="28"/>
          <w:szCs w:val="28"/>
          <w:lang w:val="kk-KZ"/>
        </w:rPr>
        <w:t>баға</w:t>
      </w:r>
      <w:r w:rsidR="00AC20F2">
        <w:rPr>
          <w:sz w:val="28"/>
          <w:szCs w:val="28"/>
          <w:lang w:val="kk-KZ"/>
        </w:rPr>
        <w:t>сы</w:t>
      </w:r>
      <w:r w:rsidRPr="0086592A">
        <w:rPr>
          <w:sz w:val="28"/>
          <w:szCs w:val="28"/>
          <w:lang w:val="kk-KZ"/>
        </w:rPr>
        <w:t xml:space="preserve"> 31 теңгеге немесе 18,1% қымбаттады. </w:t>
      </w:r>
    </w:p>
    <w:p w:rsidR="00864C93" w:rsidRPr="0086592A" w:rsidRDefault="00864C93" w:rsidP="00864C93">
      <w:pPr>
        <w:jc w:val="both"/>
        <w:rPr>
          <w:sz w:val="28"/>
          <w:szCs w:val="28"/>
          <w:lang w:val="kk-KZ"/>
        </w:rPr>
      </w:pPr>
      <w:r w:rsidRPr="0086592A">
        <w:rPr>
          <w:sz w:val="28"/>
          <w:szCs w:val="28"/>
          <w:lang w:val="kk-KZ"/>
        </w:rPr>
        <w:tab/>
        <w:t>Тұтыну қоржынының әрбір 508 тауары мен қызметі бойынша баға</w:t>
      </w:r>
      <w:r w:rsidR="00FA50F0">
        <w:rPr>
          <w:sz w:val="28"/>
          <w:szCs w:val="28"/>
          <w:lang w:val="kk-KZ"/>
        </w:rPr>
        <w:t>ның</w:t>
      </w:r>
      <w:r w:rsidRPr="0086592A">
        <w:rPr>
          <w:sz w:val="28"/>
          <w:szCs w:val="28"/>
          <w:lang w:val="kk-KZ"/>
        </w:rPr>
        <w:t xml:space="preserve"> </w:t>
      </w:r>
      <w:r w:rsidR="00FA50F0" w:rsidRPr="0086592A">
        <w:rPr>
          <w:sz w:val="28"/>
          <w:szCs w:val="28"/>
          <w:lang w:val="kk-KZ"/>
        </w:rPr>
        <w:t xml:space="preserve">жеке </w:t>
      </w:r>
      <w:r w:rsidRPr="0086592A">
        <w:rPr>
          <w:sz w:val="28"/>
          <w:szCs w:val="28"/>
          <w:lang w:val="kk-KZ"/>
        </w:rPr>
        <w:t>өзгер</w:t>
      </w:r>
      <w:r w:rsidR="00FA50F0">
        <w:rPr>
          <w:sz w:val="28"/>
          <w:szCs w:val="28"/>
          <w:lang w:val="kk-KZ"/>
        </w:rPr>
        <w:t>уі</w:t>
      </w:r>
      <w:r w:rsidRPr="0086592A">
        <w:rPr>
          <w:sz w:val="28"/>
          <w:szCs w:val="28"/>
          <w:lang w:val="kk-KZ"/>
        </w:rPr>
        <w:t xml:space="preserve"> байқалады. Мысалы, ағымдағы жылғы сәуір</w:t>
      </w:r>
      <w:r w:rsidR="00E76676">
        <w:rPr>
          <w:sz w:val="28"/>
          <w:szCs w:val="28"/>
          <w:lang w:val="kk-KZ"/>
        </w:rPr>
        <w:t>дің</w:t>
      </w:r>
      <w:r w:rsidRPr="0086592A">
        <w:rPr>
          <w:sz w:val="28"/>
          <w:szCs w:val="28"/>
          <w:lang w:val="kk-KZ"/>
        </w:rPr>
        <w:t xml:space="preserve"> қорытындысы бойынша жылдық есепте</w:t>
      </w:r>
      <w:r w:rsidR="00E76676">
        <w:rPr>
          <w:sz w:val="28"/>
          <w:szCs w:val="28"/>
          <w:lang w:val="kk-KZ"/>
        </w:rPr>
        <w:t>уде</w:t>
      </w:r>
      <w:r w:rsidRPr="0086592A">
        <w:rPr>
          <w:sz w:val="28"/>
          <w:szCs w:val="28"/>
          <w:lang w:val="kk-KZ"/>
        </w:rPr>
        <w:t xml:space="preserve"> (12 айға) республика бойынша орташа алғанда шақпақ қант – 51,7%, қияр – 50,9%, консервіленген сүт – 44,5%, күріш – 43,9%, кептірілген өрік – 40,8%, ерітілген ірімшік 39,1% қымбаттады.</w:t>
      </w:r>
    </w:p>
    <w:p w:rsidR="00864C93" w:rsidRPr="0086592A" w:rsidRDefault="00864C93" w:rsidP="00864C93">
      <w:pPr>
        <w:jc w:val="both"/>
        <w:rPr>
          <w:sz w:val="28"/>
          <w:szCs w:val="28"/>
          <w:lang w:val="kk-KZ"/>
        </w:rPr>
      </w:pPr>
      <w:r w:rsidRPr="0086592A">
        <w:rPr>
          <w:sz w:val="28"/>
          <w:szCs w:val="28"/>
          <w:lang w:val="kk-KZ"/>
        </w:rPr>
        <w:tab/>
        <w:t xml:space="preserve">Осы тауарларға бағаның жоғары өсуі </w:t>
      </w:r>
      <w:r w:rsidR="00E76676">
        <w:rPr>
          <w:sz w:val="28"/>
          <w:szCs w:val="28"/>
          <w:lang w:val="kk-KZ"/>
        </w:rPr>
        <w:t>салдарынан</w:t>
      </w:r>
      <w:r w:rsidRPr="0086592A">
        <w:rPr>
          <w:sz w:val="28"/>
          <w:szCs w:val="28"/>
          <w:lang w:val="kk-KZ"/>
        </w:rPr>
        <w:t xml:space="preserve"> тұтынушыларда инфляция (барлық 508 тауар мен қызмет бойынша орташа салмақталған баға өсуі) ресми жарияланған </w:t>
      </w:r>
      <w:r w:rsidR="00E76676">
        <w:rPr>
          <w:sz w:val="28"/>
          <w:szCs w:val="28"/>
          <w:lang w:val="kk-KZ"/>
        </w:rPr>
        <w:t>мәндерден</w:t>
      </w:r>
      <w:r w:rsidRPr="0086592A">
        <w:rPr>
          <w:sz w:val="28"/>
          <w:szCs w:val="28"/>
          <w:lang w:val="kk-KZ"/>
        </w:rPr>
        <w:t xml:space="preserve"> жоғары болуы керек деген пікір жиі қалыптасады.</w:t>
      </w:r>
    </w:p>
    <w:p w:rsidR="00864C93" w:rsidRPr="0086592A" w:rsidRDefault="00864C93" w:rsidP="00864C93">
      <w:pPr>
        <w:jc w:val="both"/>
        <w:rPr>
          <w:sz w:val="28"/>
          <w:szCs w:val="28"/>
          <w:lang w:val="kk-KZ"/>
        </w:rPr>
      </w:pPr>
      <w:r w:rsidRPr="0086592A">
        <w:rPr>
          <w:sz w:val="28"/>
          <w:szCs w:val="28"/>
          <w:lang w:val="kk-KZ"/>
        </w:rPr>
        <w:tab/>
        <w:t>Дегенмен, кейбір тауарлардың бағасы тезірек, басқалары</w:t>
      </w:r>
      <w:r w:rsidR="00BE5F5E">
        <w:rPr>
          <w:sz w:val="28"/>
          <w:szCs w:val="28"/>
          <w:lang w:val="kk-KZ"/>
        </w:rPr>
        <w:t>на баға</w:t>
      </w:r>
      <w:r w:rsidRPr="0086592A">
        <w:rPr>
          <w:sz w:val="28"/>
          <w:szCs w:val="28"/>
          <w:lang w:val="kk-KZ"/>
        </w:rPr>
        <w:t xml:space="preserve"> баяу</w:t>
      </w:r>
      <w:r w:rsidR="00BE5F5E">
        <w:rPr>
          <w:sz w:val="28"/>
          <w:szCs w:val="28"/>
          <w:lang w:val="kk-KZ"/>
        </w:rPr>
        <w:t>ырақ</w:t>
      </w:r>
      <w:r w:rsidRPr="0086592A">
        <w:rPr>
          <w:sz w:val="28"/>
          <w:szCs w:val="28"/>
          <w:lang w:val="kk-KZ"/>
        </w:rPr>
        <w:t xml:space="preserve"> </w:t>
      </w:r>
      <w:r w:rsidR="00BE5F5E" w:rsidRPr="0086592A">
        <w:rPr>
          <w:sz w:val="28"/>
          <w:szCs w:val="28"/>
          <w:lang w:val="kk-KZ"/>
        </w:rPr>
        <w:t>өсе</w:t>
      </w:r>
      <w:r w:rsidR="00BE5F5E">
        <w:rPr>
          <w:sz w:val="28"/>
          <w:szCs w:val="28"/>
          <w:lang w:val="kk-KZ"/>
        </w:rPr>
        <w:t>тінін</w:t>
      </w:r>
      <w:r w:rsidR="00BE5F5E" w:rsidRPr="0086592A">
        <w:rPr>
          <w:sz w:val="28"/>
          <w:szCs w:val="28"/>
          <w:lang w:val="kk-KZ"/>
        </w:rPr>
        <w:t xml:space="preserve"> </w:t>
      </w:r>
      <w:r w:rsidRPr="0086592A">
        <w:rPr>
          <w:sz w:val="28"/>
          <w:szCs w:val="28"/>
          <w:lang w:val="kk-KZ"/>
        </w:rPr>
        <w:t>және керісінше, басқаларын</w:t>
      </w:r>
      <w:r w:rsidR="00BE5F5E">
        <w:rPr>
          <w:sz w:val="28"/>
          <w:szCs w:val="28"/>
          <w:lang w:val="kk-KZ"/>
        </w:rPr>
        <w:t xml:space="preserve">ың бағасы </w:t>
      </w:r>
      <w:r w:rsidRPr="0086592A">
        <w:rPr>
          <w:sz w:val="28"/>
          <w:szCs w:val="28"/>
          <w:lang w:val="kk-KZ"/>
        </w:rPr>
        <w:t>төмендейтіндігін ескеру қажет. Сонымен, ағымдағы жылғы сәуірдің қорытындысы бойынша жылдық есепте</w:t>
      </w:r>
      <w:r w:rsidR="00BE5F5E">
        <w:rPr>
          <w:sz w:val="28"/>
          <w:szCs w:val="28"/>
          <w:lang w:val="kk-KZ"/>
        </w:rPr>
        <w:t>уде</w:t>
      </w:r>
      <w:r w:rsidRPr="0086592A">
        <w:rPr>
          <w:sz w:val="28"/>
          <w:szCs w:val="28"/>
          <w:lang w:val="kk-KZ"/>
        </w:rPr>
        <w:t xml:space="preserve"> (12 айға) республика бойынша орташа</w:t>
      </w:r>
      <w:r w:rsidR="00BE5F5E">
        <w:rPr>
          <w:sz w:val="28"/>
          <w:szCs w:val="28"/>
          <w:lang w:val="kk-KZ"/>
        </w:rPr>
        <w:t xml:space="preserve"> алғанда</w:t>
      </w:r>
      <w:r w:rsidRPr="0086592A">
        <w:rPr>
          <w:sz w:val="28"/>
          <w:szCs w:val="28"/>
          <w:lang w:val="kk-KZ"/>
        </w:rPr>
        <w:t xml:space="preserve"> жылқы еті – 11,9%, шикі</w:t>
      </w:r>
      <w:r w:rsidR="00AF78E3">
        <w:rPr>
          <w:sz w:val="28"/>
          <w:szCs w:val="28"/>
          <w:lang w:val="kk-KZ"/>
        </w:rPr>
        <w:t>дей</w:t>
      </w:r>
      <w:r w:rsidRPr="0086592A">
        <w:rPr>
          <w:sz w:val="28"/>
          <w:szCs w:val="28"/>
          <w:lang w:val="kk-KZ"/>
        </w:rPr>
        <w:t xml:space="preserve"> ысталған шұжық – 11,6%, сиыр еті – 11,1%, тәтті бұрыш – 9,5%, қой еті – 9,3%, күнбағыс майы – 8,3%, алма 7,5% қымбаттады. Сонымен қатар </w:t>
      </w:r>
      <w:r w:rsidR="00AF78E3">
        <w:rPr>
          <w:sz w:val="28"/>
          <w:szCs w:val="28"/>
          <w:lang w:val="kk-KZ"/>
        </w:rPr>
        <w:t xml:space="preserve">баға </w:t>
      </w:r>
      <w:r w:rsidRPr="0086592A">
        <w:rPr>
          <w:sz w:val="28"/>
          <w:szCs w:val="28"/>
          <w:lang w:val="kk-KZ"/>
        </w:rPr>
        <w:t>қырыққабат</w:t>
      </w:r>
      <w:r w:rsidR="00AF78E3">
        <w:rPr>
          <w:sz w:val="28"/>
          <w:szCs w:val="28"/>
          <w:lang w:val="kk-KZ"/>
        </w:rPr>
        <w:t>қа</w:t>
      </w:r>
      <w:r w:rsidRPr="0086592A">
        <w:rPr>
          <w:sz w:val="28"/>
          <w:szCs w:val="28"/>
          <w:lang w:val="kk-KZ"/>
        </w:rPr>
        <w:t xml:space="preserve"> – 53,4%, сәбіз</w:t>
      </w:r>
      <w:r w:rsidR="00AF78E3">
        <w:rPr>
          <w:sz w:val="28"/>
          <w:szCs w:val="28"/>
          <w:lang w:val="kk-KZ"/>
        </w:rPr>
        <w:t>ге</w:t>
      </w:r>
      <w:r w:rsidRPr="0086592A">
        <w:rPr>
          <w:sz w:val="28"/>
          <w:szCs w:val="28"/>
          <w:lang w:val="kk-KZ"/>
        </w:rPr>
        <w:t xml:space="preserve"> – 19,2%, сарымсақ</w:t>
      </w:r>
      <w:r w:rsidR="00AF78E3">
        <w:rPr>
          <w:sz w:val="28"/>
          <w:szCs w:val="28"/>
          <w:lang w:val="kk-KZ"/>
        </w:rPr>
        <w:t>қа</w:t>
      </w:r>
      <w:r w:rsidRPr="0086592A">
        <w:rPr>
          <w:sz w:val="28"/>
          <w:szCs w:val="28"/>
          <w:lang w:val="kk-KZ"/>
        </w:rPr>
        <w:t xml:space="preserve"> – 15,9%, картоп</w:t>
      </w:r>
      <w:r w:rsidR="00AF78E3">
        <w:rPr>
          <w:sz w:val="28"/>
          <w:szCs w:val="28"/>
          <w:lang w:val="kk-KZ"/>
        </w:rPr>
        <w:t>қа</w:t>
      </w:r>
      <w:r w:rsidRPr="0086592A">
        <w:rPr>
          <w:sz w:val="28"/>
          <w:szCs w:val="28"/>
          <w:lang w:val="kk-KZ"/>
        </w:rPr>
        <w:t xml:space="preserve"> 13,9% арзандады.</w:t>
      </w:r>
    </w:p>
    <w:p w:rsidR="00864C93" w:rsidRPr="0086592A" w:rsidRDefault="00864C93" w:rsidP="00864C93">
      <w:pPr>
        <w:jc w:val="both"/>
        <w:rPr>
          <w:sz w:val="28"/>
          <w:szCs w:val="28"/>
          <w:lang w:val="kk-KZ"/>
        </w:rPr>
      </w:pPr>
      <w:r w:rsidRPr="0086592A">
        <w:rPr>
          <w:sz w:val="28"/>
          <w:szCs w:val="28"/>
          <w:lang w:val="kk-KZ"/>
        </w:rPr>
        <w:tab/>
        <w:t>Сонымен бірге әрбір өңірдегі баға өсімі жеке сипатта болатындығын ескеру қажет. Пияз бойынша мысалда көрсетілгендей республика бойынша бір жылда орташа баға өсуі 35,3% құрады. Сол уақытта Атырау облысында 12 айда пияз 69,3%, Абай облысында – 63,5%, Қарағанды облысында – 59,2%, Шығыс Қазақстан облысында 56,7% қымбаттады.</w:t>
      </w:r>
    </w:p>
    <w:p w:rsidR="00864C93" w:rsidRPr="0086592A" w:rsidRDefault="00864C93" w:rsidP="00864C93">
      <w:pPr>
        <w:jc w:val="both"/>
        <w:rPr>
          <w:sz w:val="28"/>
          <w:szCs w:val="28"/>
          <w:lang w:val="kk-KZ"/>
        </w:rPr>
      </w:pPr>
      <w:r w:rsidRPr="0086592A">
        <w:rPr>
          <w:sz w:val="28"/>
          <w:szCs w:val="28"/>
          <w:lang w:val="kk-KZ"/>
        </w:rPr>
        <w:tab/>
        <w:t xml:space="preserve">Тұтыну қоржынның әрбір тауарының үй шаруашылықтарының шығыстары негізінде анықталатын өз салмағы бар. Мысалы тұтыну қоржынындағы пияздың салмағы 0,3%. Тауардың салмағы негізінде оның инфляцияға </w:t>
      </w:r>
      <w:r w:rsidR="00AF78E3">
        <w:rPr>
          <w:sz w:val="28"/>
          <w:szCs w:val="28"/>
          <w:lang w:val="kk-KZ"/>
        </w:rPr>
        <w:t>салымы</w:t>
      </w:r>
      <w:r w:rsidRPr="0086592A">
        <w:rPr>
          <w:sz w:val="28"/>
          <w:szCs w:val="28"/>
          <w:lang w:val="kk-KZ"/>
        </w:rPr>
        <w:t xml:space="preserve"> анықталады. </w:t>
      </w:r>
    </w:p>
    <w:p w:rsidR="00864C93" w:rsidRPr="0086592A" w:rsidRDefault="00864C93" w:rsidP="00864C93">
      <w:pPr>
        <w:jc w:val="both"/>
        <w:rPr>
          <w:sz w:val="28"/>
          <w:szCs w:val="28"/>
          <w:lang w:val="kk-KZ"/>
        </w:rPr>
      </w:pPr>
      <w:r w:rsidRPr="0086592A">
        <w:rPr>
          <w:sz w:val="28"/>
          <w:szCs w:val="28"/>
          <w:lang w:val="kk-KZ"/>
        </w:rPr>
        <w:tab/>
        <w:t>Осылайша, инфляция тұтыну қоржынының құрамындағы барлық тауарлар мен қызметтер бағасының өзгеруінің орташа салмақталған мәні болып табылады.</w:t>
      </w:r>
    </w:p>
    <w:p w:rsidR="00864C93" w:rsidRPr="0086592A" w:rsidRDefault="00864C93" w:rsidP="00864C93">
      <w:pPr>
        <w:jc w:val="both"/>
        <w:rPr>
          <w:sz w:val="28"/>
          <w:szCs w:val="28"/>
          <w:lang w:val="kk-KZ"/>
        </w:rPr>
      </w:pPr>
      <w:r w:rsidRPr="0086592A">
        <w:rPr>
          <w:sz w:val="28"/>
          <w:szCs w:val="28"/>
          <w:lang w:val="kk-KZ"/>
        </w:rPr>
        <w:tab/>
        <w:t xml:space="preserve">ЕАЭО елдері бойынша инфляция деңгейін </w:t>
      </w:r>
      <w:r w:rsidR="009E56BC">
        <w:rPr>
          <w:sz w:val="28"/>
          <w:szCs w:val="28"/>
          <w:lang w:val="kk-KZ"/>
        </w:rPr>
        <w:t>а</w:t>
      </w:r>
      <w:r w:rsidR="009E56BC" w:rsidRPr="0086592A">
        <w:rPr>
          <w:sz w:val="28"/>
          <w:szCs w:val="28"/>
          <w:lang w:val="kk-KZ"/>
        </w:rPr>
        <w:t xml:space="preserve">қпарат үшін </w:t>
      </w:r>
      <w:r w:rsidRPr="0086592A">
        <w:rPr>
          <w:sz w:val="28"/>
          <w:szCs w:val="28"/>
          <w:lang w:val="kk-KZ"/>
        </w:rPr>
        <w:t>келтіреміз.</w:t>
      </w:r>
    </w:p>
    <w:p w:rsidR="00864C93" w:rsidRPr="0086592A" w:rsidRDefault="00864C93" w:rsidP="00864C93">
      <w:pPr>
        <w:spacing w:before="120" w:after="120"/>
        <w:jc w:val="center"/>
        <w:rPr>
          <w:b/>
          <w:lang w:val="kk-KZ"/>
        </w:rPr>
      </w:pPr>
      <w:r w:rsidRPr="0086592A">
        <w:rPr>
          <w:b/>
          <w:lang w:val="kk-KZ"/>
        </w:rPr>
        <w:t>ЕАЭО елдеріндегі жылдық инфляция, %</w:t>
      </w:r>
    </w:p>
    <w:tbl>
      <w:tblPr>
        <w:tblW w:w="9650" w:type="dxa"/>
        <w:tblInd w:w="97" w:type="dxa"/>
        <w:tblLayout w:type="fixed"/>
        <w:tblLook w:val="04A0"/>
      </w:tblPr>
      <w:tblGrid>
        <w:gridCol w:w="1284"/>
        <w:gridCol w:w="1205"/>
        <w:gridCol w:w="882"/>
        <w:gridCol w:w="893"/>
        <w:gridCol w:w="962"/>
        <w:gridCol w:w="899"/>
        <w:gridCol w:w="881"/>
        <w:gridCol w:w="881"/>
        <w:gridCol w:w="881"/>
        <w:gridCol w:w="882"/>
      </w:tblGrid>
      <w:tr w:rsidR="00864C93" w:rsidRPr="0086592A" w:rsidTr="00864C93">
        <w:trPr>
          <w:trHeight w:val="322"/>
        </w:trPr>
        <w:tc>
          <w:tcPr>
            <w:tcW w:w="1284" w:type="dxa"/>
            <w:vMerge w:val="restart"/>
            <w:tcBorders>
              <w:top w:val="single" w:sz="4" w:space="0" w:color="auto"/>
              <w:left w:val="nil"/>
              <w:bottom w:val="single" w:sz="4" w:space="0" w:color="000000"/>
              <w:right w:val="single" w:sz="4" w:space="0" w:color="auto"/>
            </w:tcBorders>
            <w:shd w:val="clear" w:color="auto" w:fill="auto"/>
            <w:noWrap/>
            <w:vAlign w:val="bottom"/>
            <w:hideMark/>
          </w:tcPr>
          <w:p w:rsidR="00864C93" w:rsidRPr="0086592A" w:rsidRDefault="00864C93" w:rsidP="00427D51">
            <w:pPr>
              <w:jc w:val="center"/>
              <w:rPr>
                <w:sz w:val="20"/>
                <w:szCs w:val="20"/>
                <w:lang w:val="kk-KZ"/>
              </w:rPr>
            </w:pPr>
            <w:r w:rsidRPr="0086592A">
              <w:rPr>
                <w:sz w:val="20"/>
                <w:szCs w:val="20"/>
                <w:lang w:val="kk-KZ"/>
              </w:rPr>
              <w:t> </w:t>
            </w:r>
          </w:p>
        </w:tc>
        <w:tc>
          <w:tcPr>
            <w:tcW w:w="1205" w:type="dxa"/>
            <w:vMerge w:val="restart"/>
            <w:tcBorders>
              <w:top w:val="single" w:sz="4" w:space="0" w:color="auto"/>
              <w:left w:val="nil"/>
              <w:bottom w:val="single" w:sz="4" w:space="0" w:color="000000"/>
              <w:right w:val="single" w:sz="4" w:space="0" w:color="auto"/>
            </w:tcBorders>
            <w:shd w:val="clear" w:color="auto" w:fill="auto"/>
            <w:vAlign w:val="center"/>
            <w:hideMark/>
          </w:tcPr>
          <w:p w:rsidR="00864C93" w:rsidRPr="0086592A" w:rsidRDefault="00864C93" w:rsidP="00427D51">
            <w:pPr>
              <w:jc w:val="center"/>
              <w:rPr>
                <w:sz w:val="20"/>
                <w:szCs w:val="20"/>
                <w:lang w:val="kk-KZ"/>
              </w:rPr>
            </w:pPr>
            <w:r w:rsidRPr="0086592A">
              <w:rPr>
                <w:sz w:val="20"/>
                <w:szCs w:val="20"/>
                <w:lang w:val="kk-KZ"/>
              </w:rPr>
              <w:t xml:space="preserve">Желтоқсан </w:t>
            </w:r>
            <w:r w:rsidR="00E604AD" w:rsidRPr="0086592A">
              <w:rPr>
                <w:sz w:val="20"/>
                <w:szCs w:val="20"/>
                <w:lang w:val="kk-KZ"/>
              </w:rPr>
              <w:t>2022ж</w:t>
            </w:r>
            <w:r w:rsidRPr="0086592A">
              <w:rPr>
                <w:sz w:val="20"/>
                <w:szCs w:val="20"/>
                <w:lang w:val="kk-KZ"/>
              </w:rPr>
              <w:t>.</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Қаңтар 2023</w:t>
            </w:r>
            <w:r w:rsidR="00E604AD" w:rsidRPr="0086592A">
              <w:rPr>
                <w:sz w:val="20"/>
                <w:szCs w:val="20"/>
                <w:lang w:val="kk-KZ"/>
              </w:rPr>
              <w:t>ж</w:t>
            </w:r>
            <w:r w:rsidRPr="0086592A">
              <w:rPr>
                <w:sz w:val="20"/>
                <w:szCs w:val="20"/>
                <w:lang w:val="kk-KZ"/>
              </w:rPr>
              <w:t>.</w:t>
            </w:r>
          </w:p>
        </w:tc>
        <w:tc>
          <w:tcPr>
            <w:tcW w:w="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Ақпан 2023</w:t>
            </w:r>
            <w:r w:rsidR="00E604AD" w:rsidRPr="0086592A">
              <w:rPr>
                <w:sz w:val="20"/>
                <w:szCs w:val="20"/>
                <w:lang w:val="kk-KZ"/>
              </w:rPr>
              <w:t>ж</w:t>
            </w:r>
            <w:r w:rsidRPr="0086592A">
              <w:rPr>
                <w:sz w:val="20"/>
                <w:szCs w:val="20"/>
                <w:lang w:val="kk-KZ"/>
              </w:rPr>
              <w:t>.</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Наурыз 2023</w:t>
            </w:r>
            <w:r w:rsidR="00E604AD" w:rsidRPr="0086592A">
              <w:rPr>
                <w:sz w:val="20"/>
                <w:szCs w:val="20"/>
                <w:lang w:val="kk-KZ"/>
              </w:rPr>
              <w:t>ж</w:t>
            </w:r>
            <w:r w:rsidRPr="0086592A">
              <w:rPr>
                <w:sz w:val="20"/>
                <w:szCs w:val="20"/>
                <w:lang w:val="kk-KZ"/>
              </w:rPr>
              <w:t>.</w:t>
            </w:r>
          </w:p>
        </w:tc>
        <w:tc>
          <w:tcPr>
            <w:tcW w:w="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Сәуір 2023</w:t>
            </w:r>
            <w:r w:rsidR="00E604AD" w:rsidRPr="0086592A">
              <w:rPr>
                <w:sz w:val="20"/>
                <w:szCs w:val="20"/>
                <w:lang w:val="kk-KZ"/>
              </w:rPr>
              <w:t>ж</w:t>
            </w:r>
            <w:r w:rsidRPr="0086592A">
              <w:rPr>
                <w:sz w:val="20"/>
                <w:szCs w:val="20"/>
                <w:lang w:val="kk-KZ"/>
              </w:rPr>
              <w:t>.</w:t>
            </w:r>
          </w:p>
        </w:tc>
        <w:tc>
          <w:tcPr>
            <w:tcW w:w="3525" w:type="dxa"/>
            <w:gridSpan w:val="4"/>
            <w:tcBorders>
              <w:top w:val="single" w:sz="4" w:space="0" w:color="auto"/>
              <w:left w:val="nil"/>
              <w:bottom w:val="single" w:sz="4" w:space="0" w:color="auto"/>
            </w:tcBorders>
            <w:shd w:val="clear" w:color="auto" w:fill="auto"/>
            <w:noWrap/>
            <w:vAlign w:val="center"/>
            <w:hideMark/>
          </w:tcPr>
          <w:p w:rsidR="00864C93" w:rsidRPr="0086592A" w:rsidRDefault="00864C93" w:rsidP="00427D51">
            <w:pPr>
              <w:jc w:val="center"/>
              <w:rPr>
                <w:sz w:val="20"/>
                <w:szCs w:val="20"/>
                <w:lang w:val="kk-KZ"/>
              </w:rPr>
            </w:pPr>
            <w:r w:rsidRPr="0086592A">
              <w:rPr>
                <w:sz w:val="20"/>
                <w:szCs w:val="20"/>
                <w:lang w:val="kk-KZ"/>
              </w:rPr>
              <w:t>Анықтама</w:t>
            </w:r>
            <w:r w:rsidR="009E56BC">
              <w:rPr>
                <w:sz w:val="20"/>
                <w:szCs w:val="20"/>
                <w:lang w:val="kk-KZ"/>
              </w:rPr>
              <w:t xml:space="preserve"> үшін</w:t>
            </w:r>
            <w:r w:rsidRPr="0086592A">
              <w:rPr>
                <w:sz w:val="20"/>
                <w:szCs w:val="20"/>
                <w:lang w:val="kk-KZ"/>
              </w:rPr>
              <w:t>:</w:t>
            </w:r>
          </w:p>
        </w:tc>
      </w:tr>
      <w:tr w:rsidR="00864C93" w:rsidRPr="0086592A" w:rsidTr="00864C93">
        <w:trPr>
          <w:trHeight w:val="644"/>
        </w:trPr>
        <w:tc>
          <w:tcPr>
            <w:tcW w:w="1284" w:type="dxa"/>
            <w:vMerge/>
            <w:tcBorders>
              <w:top w:val="single" w:sz="4" w:space="0" w:color="auto"/>
              <w:left w:val="nil"/>
              <w:bottom w:val="single" w:sz="4" w:space="0" w:color="000000"/>
              <w:right w:val="single" w:sz="4" w:space="0" w:color="auto"/>
            </w:tcBorders>
            <w:vAlign w:val="center"/>
            <w:hideMark/>
          </w:tcPr>
          <w:p w:rsidR="00864C93" w:rsidRPr="0086592A" w:rsidRDefault="00864C93" w:rsidP="00427D51">
            <w:pPr>
              <w:rPr>
                <w:sz w:val="20"/>
                <w:szCs w:val="20"/>
                <w:lang w:val="kk-KZ"/>
              </w:rPr>
            </w:pPr>
          </w:p>
        </w:tc>
        <w:tc>
          <w:tcPr>
            <w:tcW w:w="1205" w:type="dxa"/>
            <w:vMerge/>
            <w:tcBorders>
              <w:top w:val="single" w:sz="4" w:space="0" w:color="auto"/>
              <w:left w:val="nil"/>
              <w:bottom w:val="single" w:sz="4" w:space="0" w:color="000000"/>
              <w:right w:val="single" w:sz="4" w:space="0" w:color="auto"/>
            </w:tcBorders>
            <w:vAlign w:val="center"/>
            <w:hideMark/>
          </w:tcPr>
          <w:p w:rsidR="00864C93" w:rsidRPr="0086592A" w:rsidRDefault="00864C93" w:rsidP="00427D51">
            <w:pPr>
              <w:jc w:val="center"/>
              <w:rPr>
                <w:sz w:val="20"/>
                <w:szCs w:val="20"/>
                <w:lang w:val="kk-KZ"/>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864C93" w:rsidRPr="0086592A" w:rsidRDefault="00864C93" w:rsidP="00427D51">
            <w:pPr>
              <w:jc w:val="center"/>
              <w:rPr>
                <w:sz w:val="20"/>
                <w:szCs w:val="20"/>
                <w:lang w:val="kk-KZ"/>
              </w:rPr>
            </w:pPr>
          </w:p>
        </w:tc>
        <w:tc>
          <w:tcPr>
            <w:tcW w:w="893" w:type="dxa"/>
            <w:vMerge/>
            <w:tcBorders>
              <w:top w:val="single" w:sz="4" w:space="0" w:color="auto"/>
              <w:left w:val="single" w:sz="4" w:space="0" w:color="auto"/>
              <w:bottom w:val="single" w:sz="4" w:space="0" w:color="000000"/>
              <w:right w:val="single" w:sz="4" w:space="0" w:color="auto"/>
            </w:tcBorders>
            <w:vAlign w:val="center"/>
            <w:hideMark/>
          </w:tcPr>
          <w:p w:rsidR="00864C93" w:rsidRPr="0086592A" w:rsidRDefault="00864C93" w:rsidP="00427D51">
            <w:pPr>
              <w:jc w:val="center"/>
              <w:rPr>
                <w:sz w:val="20"/>
                <w:szCs w:val="20"/>
                <w:lang w:val="kk-KZ"/>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864C93" w:rsidRPr="0086592A" w:rsidRDefault="00864C93" w:rsidP="00427D51">
            <w:pPr>
              <w:jc w:val="center"/>
              <w:rPr>
                <w:sz w:val="20"/>
                <w:szCs w:val="20"/>
                <w:lang w:val="kk-KZ"/>
              </w:rPr>
            </w:pPr>
          </w:p>
        </w:tc>
        <w:tc>
          <w:tcPr>
            <w:tcW w:w="899" w:type="dxa"/>
            <w:vMerge/>
            <w:tcBorders>
              <w:top w:val="single" w:sz="4" w:space="0" w:color="auto"/>
              <w:left w:val="single" w:sz="4" w:space="0" w:color="auto"/>
              <w:bottom w:val="single" w:sz="4" w:space="0" w:color="000000"/>
              <w:right w:val="single" w:sz="4" w:space="0" w:color="auto"/>
            </w:tcBorders>
            <w:vAlign w:val="center"/>
            <w:hideMark/>
          </w:tcPr>
          <w:p w:rsidR="00864C93" w:rsidRPr="0086592A" w:rsidRDefault="00864C93" w:rsidP="00427D51">
            <w:pPr>
              <w:jc w:val="center"/>
              <w:rPr>
                <w:sz w:val="20"/>
                <w:szCs w:val="20"/>
                <w:lang w:val="kk-KZ"/>
              </w:rPr>
            </w:pPr>
          </w:p>
        </w:tc>
        <w:tc>
          <w:tcPr>
            <w:tcW w:w="881" w:type="dxa"/>
            <w:tcBorders>
              <w:top w:val="nil"/>
              <w:left w:val="nil"/>
              <w:bottom w:val="single" w:sz="4" w:space="0" w:color="auto"/>
              <w:right w:val="single" w:sz="4" w:space="0" w:color="auto"/>
            </w:tcBorders>
            <w:shd w:val="clear" w:color="auto" w:fill="auto"/>
            <w:vAlign w:val="center"/>
            <w:hideMark/>
          </w:tcPr>
          <w:p w:rsidR="00864C93" w:rsidRPr="0086592A" w:rsidRDefault="00864C93" w:rsidP="00427D51">
            <w:pPr>
              <w:jc w:val="center"/>
              <w:rPr>
                <w:sz w:val="20"/>
                <w:szCs w:val="20"/>
                <w:lang w:val="kk-KZ"/>
              </w:rPr>
            </w:pPr>
            <w:r w:rsidRPr="0086592A">
              <w:rPr>
                <w:sz w:val="20"/>
                <w:szCs w:val="20"/>
                <w:lang w:val="kk-KZ"/>
              </w:rPr>
              <w:t xml:space="preserve">қаңтар </w:t>
            </w:r>
            <w:r w:rsidR="00E604AD" w:rsidRPr="0086592A">
              <w:rPr>
                <w:sz w:val="20"/>
                <w:szCs w:val="20"/>
                <w:lang w:val="kk-KZ"/>
              </w:rPr>
              <w:t>2022ж</w:t>
            </w:r>
            <w:r w:rsidRPr="0086592A">
              <w:rPr>
                <w:sz w:val="20"/>
                <w:szCs w:val="20"/>
                <w:lang w:val="kk-KZ"/>
              </w:rPr>
              <w:t>.</w:t>
            </w:r>
          </w:p>
        </w:tc>
        <w:tc>
          <w:tcPr>
            <w:tcW w:w="881" w:type="dxa"/>
            <w:tcBorders>
              <w:top w:val="nil"/>
              <w:left w:val="nil"/>
              <w:bottom w:val="single" w:sz="4" w:space="0" w:color="auto"/>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ақпан 2023</w:t>
            </w:r>
            <w:r w:rsidR="00E604AD" w:rsidRPr="0086592A">
              <w:rPr>
                <w:sz w:val="20"/>
                <w:szCs w:val="20"/>
                <w:lang w:val="kk-KZ"/>
              </w:rPr>
              <w:t>ж</w:t>
            </w:r>
            <w:r w:rsidRPr="0086592A">
              <w:rPr>
                <w:sz w:val="20"/>
                <w:szCs w:val="20"/>
                <w:lang w:val="kk-KZ"/>
              </w:rPr>
              <w:t>.</w:t>
            </w:r>
          </w:p>
        </w:tc>
        <w:tc>
          <w:tcPr>
            <w:tcW w:w="881" w:type="dxa"/>
            <w:tcBorders>
              <w:top w:val="nil"/>
              <w:left w:val="nil"/>
              <w:bottom w:val="single" w:sz="4" w:space="0" w:color="auto"/>
              <w:right w:val="single" w:sz="4" w:space="0" w:color="auto"/>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наурыз 2022</w:t>
            </w:r>
            <w:r w:rsidR="00E604AD" w:rsidRPr="0086592A">
              <w:rPr>
                <w:sz w:val="20"/>
                <w:szCs w:val="20"/>
                <w:lang w:val="kk-KZ"/>
              </w:rPr>
              <w:t>ж</w:t>
            </w:r>
            <w:r w:rsidRPr="0086592A">
              <w:rPr>
                <w:sz w:val="20"/>
                <w:szCs w:val="20"/>
                <w:lang w:val="kk-KZ"/>
              </w:rPr>
              <w:t>.</w:t>
            </w:r>
          </w:p>
        </w:tc>
        <w:tc>
          <w:tcPr>
            <w:tcW w:w="882" w:type="dxa"/>
            <w:tcBorders>
              <w:top w:val="nil"/>
              <w:left w:val="nil"/>
              <w:bottom w:val="single" w:sz="4" w:space="0" w:color="auto"/>
              <w:right w:val="nil"/>
            </w:tcBorders>
            <w:shd w:val="clear" w:color="auto" w:fill="auto"/>
            <w:vAlign w:val="center"/>
            <w:hideMark/>
          </w:tcPr>
          <w:p w:rsidR="00864C93" w:rsidRPr="0086592A" w:rsidRDefault="00864C93" w:rsidP="00E604AD">
            <w:pPr>
              <w:jc w:val="center"/>
              <w:rPr>
                <w:sz w:val="20"/>
                <w:szCs w:val="20"/>
                <w:lang w:val="kk-KZ"/>
              </w:rPr>
            </w:pPr>
            <w:r w:rsidRPr="0086592A">
              <w:rPr>
                <w:sz w:val="20"/>
                <w:szCs w:val="20"/>
                <w:lang w:val="kk-KZ"/>
              </w:rPr>
              <w:t>сәуір 2022</w:t>
            </w:r>
            <w:r w:rsidR="00E604AD" w:rsidRPr="0086592A">
              <w:rPr>
                <w:sz w:val="20"/>
                <w:szCs w:val="20"/>
                <w:lang w:val="kk-KZ"/>
              </w:rPr>
              <w:t>ж</w:t>
            </w:r>
            <w:r w:rsidRPr="0086592A">
              <w:rPr>
                <w:sz w:val="20"/>
                <w:szCs w:val="20"/>
                <w:lang w:val="kk-KZ"/>
              </w:rPr>
              <w:t>.</w:t>
            </w:r>
          </w:p>
        </w:tc>
      </w:tr>
      <w:tr w:rsidR="00864C93" w:rsidRPr="0086592A" w:rsidTr="003D31A3">
        <w:trPr>
          <w:trHeight w:val="283"/>
        </w:trPr>
        <w:tc>
          <w:tcPr>
            <w:tcW w:w="1284" w:type="dxa"/>
            <w:tcBorders>
              <w:top w:val="nil"/>
              <w:left w:val="nil"/>
              <w:bottom w:val="nil"/>
              <w:right w:val="nil"/>
            </w:tcBorders>
            <w:shd w:val="clear" w:color="auto" w:fill="auto"/>
            <w:noWrap/>
            <w:vAlign w:val="bottom"/>
            <w:hideMark/>
          </w:tcPr>
          <w:p w:rsidR="00864C93" w:rsidRPr="0086592A" w:rsidRDefault="00864C93" w:rsidP="00427D51">
            <w:pPr>
              <w:rPr>
                <w:b/>
                <w:sz w:val="20"/>
                <w:szCs w:val="20"/>
                <w:lang w:val="kk-KZ"/>
              </w:rPr>
            </w:pPr>
            <w:r w:rsidRPr="0086592A">
              <w:rPr>
                <w:b/>
                <w:sz w:val="20"/>
                <w:szCs w:val="20"/>
                <w:lang w:val="kk-KZ"/>
              </w:rPr>
              <w:t>Қазақстан</w:t>
            </w:r>
          </w:p>
        </w:tc>
        <w:tc>
          <w:tcPr>
            <w:tcW w:w="1205" w:type="dxa"/>
            <w:tcBorders>
              <w:top w:val="nil"/>
              <w:left w:val="nil"/>
              <w:bottom w:val="nil"/>
              <w:right w:val="nil"/>
            </w:tcBorders>
            <w:shd w:val="clear" w:color="auto" w:fill="auto"/>
            <w:noWrap/>
            <w:vAlign w:val="bottom"/>
            <w:hideMark/>
          </w:tcPr>
          <w:p w:rsidR="00864C93" w:rsidRPr="0086592A" w:rsidRDefault="00864C93" w:rsidP="003D31A3">
            <w:pPr>
              <w:jc w:val="right"/>
              <w:rPr>
                <w:color w:val="000000"/>
                <w:sz w:val="20"/>
                <w:szCs w:val="20"/>
                <w:lang w:val="kk-KZ"/>
              </w:rPr>
            </w:pPr>
            <w:r w:rsidRPr="0086592A">
              <w:rPr>
                <w:color w:val="000000"/>
                <w:sz w:val="20"/>
                <w:szCs w:val="20"/>
                <w:lang w:val="kk-KZ"/>
              </w:rPr>
              <w:t>20,3</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20,7</w:t>
            </w:r>
          </w:p>
        </w:tc>
        <w:tc>
          <w:tcPr>
            <w:tcW w:w="893"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21,3</w:t>
            </w:r>
          </w:p>
        </w:tc>
        <w:tc>
          <w:tcPr>
            <w:tcW w:w="96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18,1</w:t>
            </w:r>
          </w:p>
        </w:tc>
        <w:tc>
          <w:tcPr>
            <w:tcW w:w="899"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16,8</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color w:val="000000"/>
                <w:sz w:val="20"/>
                <w:szCs w:val="20"/>
                <w:lang w:val="kk-KZ"/>
              </w:rPr>
            </w:pPr>
            <w:r w:rsidRPr="0086592A">
              <w:rPr>
                <w:color w:val="000000"/>
                <w:sz w:val="20"/>
                <w:szCs w:val="20"/>
                <w:lang w:val="kk-KZ"/>
              </w:rPr>
              <w:t>8,5</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color w:val="000000"/>
                <w:sz w:val="20"/>
                <w:szCs w:val="20"/>
                <w:lang w:val="kk-KZ"/>
              </w:rPr>
            </w:pPr>
            <w:r w:rsidRPr="0086592A">
              <w:rPr>
                <w:color w:val="000000"/>
                <w:sz w:val="20"/>
                <w:szCs w:val="20"/>
                <w:lang w:val="kk-KZ"/>
              </w:rPr>
              <w:t>8,7</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color w:val="000000"/>
                <w:sz w:val="20"/>
                <w:szCs w:val="20"/>
                <w:lang w:val="kk-KZ"/>
              </w:rPr>
            </w:pPr>
            <w:r w:rsidRPr="0086592A">
              <w:rPr>
                <w:color w:val="000000"/>
                <w:sz w:val="20"/>
                <w:szCs w:val="20"/>
                <w:lang w:val="kk-KZ"/>
              </w:rPr>
              <w:t>12,0</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color w:val="000000"/>
                <w:sz w:val="20"/>
                <w:szCs w:val="20"/>
                <w:lang w:val="kk-KZ"/>
              </w:rPr>
            </w:pPr>
            <w:r w:rsidRPr="0086592A">
              <w:rPr>
                <w:color w:val="000000"/>
                <w:sz w:val="20"/>
                <w:szCs w:val="20"/>
                <w:lang w:val="kk-KZ"/>
              </w:rPr>
              <w:t>13,2</w:t>
            </w:r>
          </w:p>
        </w:tc>
      </w:tr>
      <w:tr w:rsidR="00864C93" w:rsidRPr="0086592A" w:rsidTr="003D31A3">
        <w:trPr>
          <w:trHeight w:val="283"/>
        </w:trPr>
        <w:tc>
          <w:tcPr>
            <w:tcW w:w="1284" w:type="dxa"/>
            <w:tcBorders>
              <w:top w:val="nil"/>
              <w:left w:val="nil"/>
              <w:bottom w:val="nil"/>
              <w:right w:val="nil"/>
            </w:tcBorders>
            <w:shd w:val="clear" w:color="auto" w:fill="auto"/>
            <w:noWrap/>
            <w:vAlign w:val="bottom"/>
            <w:hideMark/>
          </w:tcPr>
          <w:p w:rsidR="00864C93" w:rsidRPr="0086592A" w:rsidRDefault="00864C93" w:rsidP="00427D51">
            <w:pPr>
              <w:rPr>
                <w:sz w:val="20"/>
                <w:szCs w:val="20"/>
                <w:lang w:val="kk-KZ"/>
              </w:rPr>
            </w:pPr>
            <w:r w:rsidRPr="0086592A">
              <w:rPr>
                <w:sz w:val="20"/>
                <w:szCs w:val="20"/>
                <w:lang w:val="kk-KZ"/>
              </w:rPr>
              <w:t>Ресей</w:t>
            </w:r>
          </w:p>
        </w:tc>
        <w:tc>
          <w:tcPr>
            <w:tcW w:w="1205"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11,9</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11,8</w:t>
            </w:r>
          </w:p>
        </w:tc>
        <w:tc>
          <w:tcPr>
            <w:tcW w:w="893"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11,0</w:t>
            </w:r>
          </w:p>
        </w:tc>
        <w:tc>
          <w:tcPr>
            <w:tcW w:w="96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3,5</w:t>
            </w:r>
          </w:p>
        </w:tc>
        <w:tc>
          <w:tcPr>
            <w:tcW w:w="899"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8,7</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9,2</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16,7</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17,8</w:t>
            </w:r>
          </w:p>
        </w:tc>
      </w:tr>
      <w:tr w:rsidR="00864C93" w:rsidRPr="0086592A" w:rsidTr="003D31A3">
        <w:trPr>
          <w:trHeight w:val="283"/>
        </w:trPr>
        <w:tc>
          <w:tcPr>
            <w:tcW w:w="1284" w:type="dxa"/>
            <w:tcBorders>
              <w:top w:val="nil"/>
              <w:left w:val="nil"/>
              <w:bottom w:val="nil"/>
              <w:right w:val="nil"/>
            </w:tcBorders>
            <w:shd w:val="clear" w:color="auto" w:fill="auto"/>
            <w:noWrap/>
            <w:vAlign w:val="bottom"/>
            <w:hideMark/>
          </w:tcPr>
          <w:p w:rsidR="00864C93" w:rsidRPr="0086592A" w:rsidRDefault="00864C93" w:rsidP="00427D51">
            <w:pPr>
              <w:rPr>
                <w:sz w:val="20"/>
                <w:szCs w:val="20"/>
                <w:lang w:val="kk-KZ"/>
              </w:rPr>
            </w:pPr>
            <w:r w:rsidRPr="0086592A">
              <w:rPr>
                <w:sz w:val="20"/>
                <w:szCs w:val="20"/>
                <w:lang w:val="kk-KZ"/>
              </w:rPr>
              <w:t>Беларусь</w:t>
            </w:r>
          </w:p>
        </w:tc>
        <w:tc>
          <w:tcPr>
            <w:tcW w:w="1205"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12,8</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12,0</w:t>
            </w:r>
          </w:p>
        </w:tc>
        <w:tc>
          <w:tcPr>
            <w:tcW w:w="893"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11,7</w:t>
            </w:r>
          </w:p>
        </w:tc>
        <w:tc>
          <w:tcPr>
            <w:tcW w:w="96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6,0</w:t>
            </w:r>
          </w:p>
        </w:tc>
        <w:tc>
          <w:tcPr>
            <w:tcW w:w="899"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10,4</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10,0</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15,9</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16,8</w:t>
            </w:r>
          </w:p>
        </w:tc>
      </w:tr>
      <w:tr w:rsidR="00864C93" w:rsidRPr="0086592A" w:rsidTr="003D31A3">
        <w:trPr>
          <w:trHeight w:val="283"/>
        </w:trPr>
        <w:tc>
          <w:tcPr>
            <w:tcW w:w="1284" w:type="dxa"/>
            <w:tcBorders>
              <w:top w:val="nil"/>
              <w:left w:val="nil"/>
              <w:bottom w:val="nil"/>
              <w:right w:val="nil"/>
            </w:tcBorders>
            <w:shd w:val="clear" w:color="auto" w:fill="auto"/>
            <w:noWrap/>
            <w:vAlign w:val="bottom"/>
            <w:hideMark/>
          </w:tcPr>
          <w:p w:rsidR="00864C93" w:rsidRPr="0086592A" w:rsidRDefault="00864C93" w:rsidP="00427D51">
            <w:pPr>
              <w:rPr>
                <w:sz w:val="20"/>
                <w:szCs w:val="20"/>
                <w:lang w:val="kk-KZ"/>
              </w:rPr>
            </w:pPr>
            <w:r w:rsidRPr="0086592A">
              <w:rPr>
                <w:sz w:val="20"/>
                <w:szCs w:val="20"/>
                <w:lang w:val="kk-KZ"/>
              </w:rPr>
              <w:t>Қырғызстан</w:t>
            </w:r>
          </w:p>
        </w:tc>
        <w:tc>
          <w:tcPr>
            <w:tcW w:w="1205"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14,7</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15,3</w:t>
            </w:r>
          </w:p>
        </w:tc>
        <w:tc>
          <w:tcPr>
            <w:tcW w:w="893"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16,2</w:t>
            </w:r>
          </w:p>
        </w:tc>
        <w:tc>
          <w:tcPr>
            <w:tcW w:w="96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12,7</w:t>
            </w:r>
          </w:p>
        </w:tc>
        <w:tc>
          <w:tcPr>
            <w:tcW w:w="899"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11,2</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10,8</w:t>
            </w:r>
          </w:p>
        </w:tc>
        <w:tc>
          <w:tcPr>
            <w:tcW w:w="881"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13,2</w:t>
            </w:r>
          </w:p>
        </w:tc>
        <w:tc>
          <w:tcPr>
            <w:tcW w:w="882" w:type="dxa"/>
            <w:tcBorders>
              <w:top w:val="nil"/>
              <w:left w:val="nil"/>
              <w:bottom w:val="nil"/>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14,5</w:t>
            </w:r>
          </w:p>
        </w:tc>
      </w:tr>
      <w:tr w:rsidR="00864C93" w:rsidRPr="0086592A" w:rsidTr="003D31A3">
        <w:trPr>
          <w:trHeight w:val="283"/>
        </w:trPr>
        <w:tc>
          <w:tcPr>
            <w:tcW w:w="1284" w:type="dxa"/>
            <w:tcBorders>
              <w:top w:val="nil"/>
              <w:left w:val="nil"/>
              <w:bottom w:val="single" w:sz="4" w:space="0" w:color="auto"/>
              <w:right w:val="nil"/>
            </w:tcBorders>
            <w:shd w:val="clear" w:color="auto" w:fill="auto"/>
            <w:noWrap/>
            <w:vAlign w:val="bottom"/>
            <w:hideMark/>
          </w:tcPr>
          <w:p w:rsidR="00864C93" w:rsidRPr="0086592A" w:rsidRDefault="00864C93" w:rsidP="00427D51">
            <w:pPr>
              <w:rPr>
                <w:sz w:val="20"/>
                <w:szCs w:val="20"/>
                <w:lang w:val="kk-KZ"/>
              </w:rPr>
            </w:pPr>
            <w:r w:rsidRPr="0086592A">
              <w:rPr>
                <w:sz w:val="20"/>
                <w:szCs w:val="20"/>
                <w:lang w:val="kk-KZ"/>
              </w:rPr>
              <w:t>Армения</w:t>
            </w:r>
          </w:p>
        </w:tc>
        <w:tc>
          <w:tcPr>
            <w:tcW w:w="1205"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8,3</w:t>
            </w:r>
          </w:p>
        </w:tc>
        <w:tc>
          <w:tcPr>
            <w:tcW w:w="882"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8,1</w:t>
            </w:r>
          </w:p>
        </w:tc>
        <w:tc>
          <w:tcPr>
            <w:tcW w:w="893"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8,1</w:t>
            </w:r>
          </w:p>
        </w:tc>
        <w:tc>
          <w:tcPr>
            <w:tcW w:w="962"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5,4</w:t>
            </w:r>
          </w:p>
        </w:tc>
        <w:tc>
          <w:tcPr>
            <w:tcW w:w="899"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3,2</w:t>
            </w:r>
          </w:p>
        </w:tc>
        <w:tc>
          <w:tcPr>
            <w:tcW w:w="881"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7,1</w:t>
            </w:r>
          </w:p>
        </w:tc>
        <w:tc>
          <w:tcPr>
            <w:tcW w:w="881"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6,5</w:t>
            </w:r>
          </w:p>
        </w:tc>
        <w:tc>
          <w:tcPr>
            <w:tcW w:w="881"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7,4</w:t>
            </w:r>
          </w:p>
        </w:tc>
        <w:tc>
          <w:tcPr>
            <w:tcW w:w="882" w:type="dxa"/>
            <w:tcBorders>
              <w:top w:val="nil"/>
              <w:left w:val="nil"/>
              <w:bottom w:val="single" w:sz="4" w:space="0" w:color="auto"/>
              <w:right w:val="nil"/>
            </w:tcBorders>
            <w:shd w:val="clear" w:color="auto" w:fill="auto"/>
            <w:noWrap/>
            <w:vAlign w:val="bottom"/>
            <w:hideMark/>
          </w:tcPr>
          <w:p w:rsidR="00864C93" w:rsidRPr="0086592A" w:rsidRDefault="00864C93" w:rsidP="003D31A3">
            <w:pPr>
              <w:jc w:val="right"/>
              <w:rPr>
                <w:sz w:val="20"/>
                <w:szCs w:val="20"/>
                <w:lang w:val="kk-KZ"/>
              </w:rPr>
            </w:pPr>
            <w:r w:rsidRPr="0086592A">
              <w:rPr>
                <w:sz w:val="20"/>
                <w:szCs w:val="20"/>
                <w:lang w:val="kk-KZ"/>
              </w:rPr>
              <w:t>8,4</w:t>
            </w:r>
          </w:p>
        </w:tc>
      </w:tr>
    </w:tbl>
    <w:p w:rsidR="00864C93" w:rsidRPr="0086592A" w:rsidRDefault="00864C93" w:rsidP="00864C93">
      <w:pPr>
        <w:spacing w:before="120"/>
        <w:ind w:firstLine="709"/>
        <w:jc w:val="both"/>
        <w:rPr>
          <w:i/>
          <w:sz w:val="20"/>
          <w:szCs w:val="20"/>
          <w:lang w:val="kk-KZ"/>
        </w:rPr>
      </w:pPr>
      <w:r w:rsidRPr="0086592A">
        <w:rPr>
          <w:i/>
          <w:sz w:val="20"/>
          <w:szCs w:val="20"/>
          <w:lang w:val="kk-KZ"/>
        </w:rPr>
        <w:t xml:space="preserve">... – 2023 жылғы </w:t>
      </w:r>
      <w:r w:rsidR="00A7234C" w:rsidRPr="0086592A">
        <w:rPr>
          <w:i/>
          <w:sz w:val="20"/>
          <w:szCs w:val="20"/>
          <w:lang w:val="kk-KZ"/>
        </w:rPr>
        <w:t>10</w:t>
      </w:r>
      <w:r w:rsidRPr="0086592A">
        <w:rPr>
          <w:i/>
          <w:sz w:val="20"/>
          <w:szCs w:val="20"/>
          <w:lang w:val="kk-KZ"/>
        </w:rPr>
        <w:t xml:space="preserve"> мамырдағы жағдай бойынша деректер </w:t>
      </w:r>
      <w:r w:rsidR="009E56BC">
        <w:rPr>
          <w:i/>
          <w:sz w:val="20"/>
          <w:szCs w:val="20"/>
          <w:lang w:val="kk-KZ"/>
        </w:rPr>
        <w:t xml:space="preserve">жарияланған </w:t>
      </w:r>
      <w:r w:rsidRPr="0086592A">
        <w:rPr>
          <w:i/>
          <w:sz w:val="20"/>
          <w:szCs w:val="20"/>
          <w:lang w:val="kk-KZ"/>
        </w:rPr>
        <w:t>жоқ</w:t>
      </w:r>
      <w:bookmarkStart w:id="0" w:name="_GoBack"/>
      <w:bookmarkEnd w:id="0"/>
    </w:p>
    <w:p w:rsidR="00864C93" w:rsidRPr="0086592A" w:rsidRDefault="00864C93" w:rsidP="00864C93">
      <w:pPr>
        <w:spacing w:before="120"/>
        <w:jc w:val="both"/>
        <w:rPr>
          <w:sz w:val="28"/>
          <w:szCs w:val="28"/>
          <w:lang w:val="kk-KZ"/>
        </w:rPr>
      </w:pPr>
      <w:r w:rsidRPr="0086592A">
        <w:rPr>
          <w:sz w:val="28"/>
          <w:szCs w:val="28"/>
          <w:lang w:val="kk-KZ"/>
        </w:rPr>
        <w:tab/>
      </w:r>
      <w:r w:rsidR="009E56BC" w:rsidRPr="0086592A">
        <w:rPr>
          <w:sz w:val="28"/>
          <w:szCs w:val="28"/>
          <w:lang w:val="kk-KZ"/>
        </w:rPr>
        <w:t xml:space="preserve">Бюро </w:t>
      </w:r>
      <w:r w:rsidR="009E56BC">
        <w:rPr>
          <w:sz w:val="28"/>
          <w:szCs w:val="28"/>
          <w:lang w:val="kk-KZ"/>
        </w:rPr>
        <w:t>и</w:t>
      </w:r>
      <w:r w:rsidRPr="0086592A">
        <w:rPr>
          <w:sz w:val="28"/>
          <w:szCs w:val="28"/>
          <w:lang w:val="kk-KZ"/>
        </w:rPr>
        <w:t>нфляцияны есептеу әдіс</w:t>
      </w:r>
      <w:r w:rsidR="009E56BC">
        <w:rPr>
          <w:sz w:val="28"/>
          <w:szCs w:val="28"/>
          <w:lang w:val="kk-KZ"/>
        </w:rPr>
        <w:t>намасы</w:t>
      </w:r>
      <w:r w:rsidRPr="0086592A">
        <w:rPr>
          <w:sz w:val="28"/>
          <w:szCs w:val="28"/>
          <w:lang w:val="kk-KZ"/>
        </w:rPr>
        <w:t xml:space="preserve"> мен </w:t>
      </w:r>
      <w:r w:rsidR="009E56BC">
        <w:rPr>
          <w:sz w:val="28"/>
          <w:szCs w:val="28"/>
          <w:lang w:val="kk-KZ"/>
        </w:rPr>
        <w:t>процесін</w:t>
      </w:r>
      <w:r w:rsidRPr="0086592A">
        <w:rPr>
          <w:sz w:val="28"/>
          <w:szCs w:val="28"/>
          <w:lang w:val="kk-KZ"/>
        </w:rPr>
        <w:t xml:space="preserve"> түсіндіру мақсатында ағымдағы жылдың сәуір айында журналистер үшін тур ұйымдастырды, онда бағаны тіркеу процесі көрсетілді, журналистердің сұрақтарына жауаптар берілді.</w:t>
      </w:r>
    </w:p>
    <w:p w:rsidR="00864C93" w:rsidRPr="0086592A" w:rsidRDefault="00864C93" w:rsidP="00864C93">
      <w:pPr>
        <w:jc w:val="both"/>
        <w:rPr>
          <w:sz w:val="28"/>
          <w:szCs w:val="28"/>
          <w:lang w:val="kk-KZ"/>
        </w:rPr>
      </w:pPr>
      <w:r w:rsidRPr="0086592A">
        <w:rPr>
          <w:sz w:val="28"/>
          <w:szCs w:val="28"/>
          <w:lang w:val="kk-KZ"/>
        </w:rPr>
        <w:tab/>
        <w:t>Сізге ыңғайлы уақытта «АМАНАТ» партиясы фракциясы</w:t>
      </w:r>
      <w:r w:rsidR="00DB6EDB">
        <w:rPr>
          <w:sz w:val="28"/>
          <w:szCs w:val="28"/>
          <w:lang w:val="kk-KZ"/>
        </w:rPr>
        <w:t>ның</w:t>
      </w:r>
      <w:r w:rsidRPr="0086592A">
        <w:rPr>
          <w:sz w:val="28"/>
          <w:szCs w:val="28"/>
          <w:lang w:val="kk-KZ"/>
        </w:rPr>
        <w:t xml:space="preserve"> депутаттары мен мониторингтік топқа әдіс</w:t>
      </w:r>
      <w:r w:rsidR="00DB6EDB">
        <w:rPr>
          <w:sz w:val="28"/>
          <w:szCs w:val="28"/>
          <w:lang w:val="kk-KZ"/>
        </w:rPr>
        <w:t>наманы</w:t>
      </w:r>
      <w:r w:rsidRPr="0086592A">
        <w:rPr>
          <w:sz w:val="28"/>
          <w:szCs w:val="28"/>
          <w:lang w:val="kk-KZ"/>
        </w:rPr>
        <w:t xml:space="preserve"> түсіндіру үшін Астана қаласы бойынша тур өткізуді ұсынамыз.</w:t>
      </w:r>
    </w:p>
    <w:p w:rsidR="00864C93" w:rsidRPr="0086592A" w:rsidRDefault="00864C93" w:rsidP="00864C93">
      <w:pPr>
        <w:jc w:val="both"/>
        <w:rPr>
          <w:sz w:val="28"/>
          <w:szCs w:val="28"/>
          <w:lang w:val="kk-KZ"/>
        </w:rPr>
      </w:pPr>
      <w:r w:rsidRPr="0086592A">
        <w:rPr>
          <w:sz w:val="28"/>
          <w:szCs w:val="28"/>
          <w:lang w:val="kk-KZ"/>
        </w:rPr>
        <w:lastRenderedPageBreak/>
        <w:tab/>
        <w:t>Қосымша 2022 жылғы қыркүйек айынан бастап Бюро сайтында инфляцияны есептеу әдіс</w:t>
      </w:r>
      <w:r w:rsidR="00DB6EDB">
        <w:rPr>
          <w:sz w:val="28"/>
          <w:szCs w:val="28"/>
          <w:lang w:val="kk-KZ"/>
        </w:rPr>
        <w:t xml:space="preserve">намасы </w:t>
      </w:r>
      <w:r w:rsidRPr="0086592A">
        <w:rPr>
          <w:sz w:val="28"/>
          <w:szCs w:val="28"/>
          <w:lang w:val="kk-KZ"/>
        </w:rPr>
        <w:t>және талдау үшін</w:t>
      </w:r>
      <w:r w:rsidR="00DB6EDB">
        <w:rPr>
          <w:sz w:val="28"/>
          <w:szCs w:val="28"/>
          <w:lang w:val="kk-KZ"/>
        </w:rPr>
        <w:t xml:space="preserve"> әртүрлі кесінділер көрсетілген дэшборд орналастырылған </w:t>
      </w:r>
      <w:r w:rsidRPr="0086592A">
        <w:rPr>
          <w:sz w:val="28"/>
          <w:szCs w:val="28"/>
          <w:lang w:val="kk-KZ"/>
        </w:rPr>
        <w:t>(</w:t>
      </w:r>
      <w:hyperlink r:id="rId9" w:history="1">
        <w:r w:rsidR="006A37D3" w:rsidRPr="00654447">
          <w:rPr>
            <w:rStyle w:val="af0"/>
            <w:rFonts w:eastAsia="Segoe Condensed"/>
            <w:sz w:val="28"/>
            <w:szCs w:val="28"/>
            <w:lang w:val="kk-KZ"/>
          </w:rPr>
          <w:t>https://stat.gov.kz/ru/instuments/dashboards/8764/</w:t>
        </w:r>
      </w:hyperlink>
      <w:r w:rsidRPr="0086592A">
        <w:rPr>
          <w:sz w:val="28"/>
          <w:szCs w:val="28"/>
          <w:lang w:val="kk-KZ"/>
        </w:rPr>
        <w:t>).</w:t>
      </w:r>
    </w:p>
    <w:p w:rsidR="00864C93" w:rsidRPr="0086592A" w:rsidRDefault="00864C93" w:rsidP="00864C93">
      <w:pPr>
        <w:jc w:val="both"/>
        <w:rPr>
          <w:sz w:val="28"/>
          <w:szCs w:val="28"/>
          <w:lang w:val="kk-KZ"/>
        </w:rPr>
      </w:pPr>
      <w:r w:rsidRPr="0086592A">
        <w:rPr>
          <w:sz w:val="28"/>
          <w:szCs w:val="28"/>
          <w:lang w:val="kk-KZ"/>
        </w:rPr>
        <w:tab/>
        <w:t>Сондай-ақ, Бюро инфляцияны есептеу үшін деректерді жинау процесін жетілдіру бой</w:t>
      </w:r>
      <w:r w:rsidR="00DB6EDB">
        <w:rPr>
          <w:sz w:val="28"/>
          <w:szCs w:val="28"/>
          <w:lang w:val="kk-KZ"/>
        </w:rPr>
        <w:t>ынша жұмысты жалғастырып жатқан</w:t>
      </w:r>
      <w:r w:rsidRPr="0086592A">
        <w:rPr>
          <w:sz w:val="28"/>
          <w:szCs w:val="28"/>
          <w:lang w:val="kk-KZ"/>
        </w:rPr>
        <w:t xml:space="preserve">ын атап өтеміз. Ағымдағы жылғы сәуірден бастап штрих-кодты және </w:t>
      </w:r>
      <w:r w:rsidR="00DB6EDB">
        <w:rPr>
          <w:sz w:val="28"/>
          <w:szCs w:val="28"/>
          <w:lang w:val="kk-KZ"/>
        </w:rPr>
        <w:t>тауардың</w:t>
      </w:r>
      <w:r w:rsidRPr="0086592A">
        <w:rPr>
          <w:sz w:val="28"/>
          <w:szCs w:val="28"/>
          <w:lang w:val="kk-KZ"/>
        </w:rPr>
        <w:t xml:space="preserve"> суретін оқуға, бөлшек сауда объектісінің орналасқан жерін растауға және деректерді онлайн режимінде жіберуге мүмкіндік беретін мобильді қосымша </w:t>
      </w:r>
      <w:r w:rsidR="00DB6EDB">
        <w:rPr>
          <w:sz w:val="28"/>
          <w:szCs w:val="28"/>
          <w:lang w:val="kk-KZ"/>
        </w:rPr>
        <w:t>сынамадан өткізілуде</w:t>
      </w:r>
      <w:r w:rsidRPr="0086592A">
        <w:rPr>
          <w:sz w:val="28"/>
          <w:szCs w:val="28"/>
          <w:lang w:val="kk-KZ"/>
        </w:rPr>
        <w:t>.</w:t>
      </w:r>
    </w:p>
    <w:p w:rsidR="00864C93" w:rsidRPr="0086592A" w:rsidRDefault="00864C93" w:rsidP="00864C93">
      <w:pPr>
        <w:jc w:val="both"/>
        <w:rPr>
          <w:sz w:val="28"/>
          <w:szCs w:val="28"/>
          <w:lang w:val="kk-KZ"/>
        </w:rPr>
      </w:pPr>
      <w:r w:rsidRPr="0086592A">
        <w:rPr>
          <w:sz w:val="28"/>
          <w:szCs w:val="28"/>
          <w:lang w:val="kk-KZ"/>
        </w:rPr>
        <w:tab/>
        <w:t xml:space="preserve">Одан басқа, </w:t>
      </w:r>
      <w:r w:rsidR="00DB6EDB" w:rsidRPr="0086592A">
        <w:rPr>
          <w:sz w:val="28"/>
          <w:szCs w:val="28"/>
          <w:lang w:val="kk-KZ"/>
        </w:rPr>
        <w:t xml:space="preserve">Бюро </w:t>
      </w:r>
      <w:r w:rsidRPr="0086592A">
        <w:rPr>
          <w:sz w:val="28"/>
          <w:szCs w:val="28"/>
          <w:lang w:val="kk-KZ"/>
        </w:rPr>
        <w:t xml:space="preserve">халықаралық тәжірибе негізінде инфляцияны </w:t>
      </w:r>
      <w:r w:rsidR="00DB6EDB">
        <w:rPr>
          <w:sz w:val="28"/>
          <w:szCs w:val="28"/>
          <w:lang w:val="kk-KZ"/>
        </w:rPr>
        <w:t>есептеу</w:t>
      </w:r>
      <w:r w:rsidRPr="0086592A">
        <w:rPr>
          <w:sz w:val="28"/>
          <w:szCs w:val="28"/>
          <w:lang w:val="kk-KZ"/>
        </w:rPr>
        <w:t xml:space="preserve"> үшін сатып алушы</w:t>
      </w:r>
      <w:r w:rsidR="00DB6EDB">
        <w:rPr>
          <w:sz w:val="28"/>
          <w:szCs w:val="28"/>
          <w:lang w:val="kk-KZ"/>
        </w:rPr>
        <w:t>лар</w:t>
      </w:r>
      <w:r w:rsidRPr="0086592A">
        <w:rPr>
          <w:sz w:val="28"/>
          <w:szCs w:val="28"/>
          <w:lang w:val="kk-KZ"/>
        </w:rPr>
        <w:t xml:space="preserve"> </w:t>
      </w:r>
      <w:r w:rsidR="00DB6EDB">
        <w:rPr>
          <w:sz w:val="28"/>
          <w:szCs w:val="28"/>
          <w:lang w:val="kk-KZ"/>
        </w:rPr>
        <w:t xml:space="preserve">жасаған </w:t>
      </w:r>
      <w:r w:rsidRPr="0086592A">
        <w:rPr>
          <w:sz w:val="28"/>
          <w:szCs w:val="28"/>
          <w:lang w:val="kk-KZ"/>
        </w:rPr>
        <w:t xml:space="preserve">нақты </w:t>
      </w:r>
      <w:r w:rsidR="00DB6EDB">
        <w:rPr>
          <w:sz w:val="28"/>
          <w:szCs w:val="28"/>
          <w:lang w:val="kk-KZ"/>
        </w:rPr>
        <w:t>транзакцияларды белгілейтін</w:t>
      </w:r>
      <w:r w:rsidRPr="0086592A">
        <w:rPr>
          <w:sz w:val="28"/>
          <w:szCs w:val="28"/>
          <w:lang w:val="kk-KZ"/>
        </w:rPr>
        <w:t xml:space="preserve"> бақылау-касса машиналарының деректерін пилоттық режимде пайдалануға кірісті. </w:t>
      </w:r>
      <w:r w:rsidR="00DB6EDB">
        <w:rPr>
          <w:sz w:val="28"/>
          <w:szCs w:val="28"/>
          <w:lang w:val="kk-KZ"/>
        </w:rPr>
        <w:t xml:space="preserve"> </w:t>
      </w:r>
    </w:p>
    <w:p w:rsidR="00864C93" w:rsidRPr="0086592A" w:rsidRDefault="00864C93" w:rsidP="00864C93">
      <w:pPr>
        <w:jc w:val="both"/>
        <w:rPr>
          <w:sz w:val="28"/>
          <w:szCs w:val="28"/>
          <w:lang w:val="kk-KZ"/>
        </w:rPr>
      </w:pPr>
      <w:r w:rsidRPr="0086592A">
        <w:rPr>
          <w:sz w:val="28"/>
          <w:szCs w:val="28"/>
          <w:lang w:val="kk-KZ"/>
        </w:rPr>
        <w:tab/>
        <w:t>Бюро Сізге ыңғайлы уақытта жаңа құралдарды көрсетуге дайын.</w:t>
      </w:r>
    </w:p>
    <w:p w:rsidR="00864C93" w:rsidRPr="0086592A" w:rsidRDefault="00864C93" w:rsidP="00864C93">
      <w:pPr>
        <w:pStyle w:val="OsnTxt"/>
        <w:spacing w:line="240" w:lineRule="auto"/>
        <w:ind w:firstLine="709"/>
        <w:rPr>
          <w:rFonts w:ascii="Times New Roman" w:hAnsi="Times New Roman"/>
          <w:b/>
          <w:i/>
          <w:sz w:val="28"/>
          <w:szCs w:val="28"/>
          <w:lang w:val="kk-KZ"/>
        </w:rPr>
      </w:pPr>
      <w:r w:rsidRPr="0086592A">
        <w:rPr>
          <w:rFonts w:ascii="Times New Roman" w:hAnsi="Times New Roman"/>
          <w:b/>
          <w:i/>
          <w:sz w:val="28"/>
          <w:szCs w:val="28"/>
          <w:lang w:val="kk-KZ"/>
        </w:rPr>
        <w:t>2. Халықтың орташа айлық жалақысы мен жан басына шаққандағы орташа табысы мәселесіне қатысты.</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Орташа айлық жалақы туралы ақпарат кәсіпорындар мен ұйымдар тоқсандық және жылдық негізде ұсынатын </w:t>
      </w:r>
      <w:r w:rsidR="00FA782C">
        <w:rPr>
          <w:rFonts w:ascii="Times New Roman" w:hAnsi="Times New Roman"/>
          <w:sz w:val="28"/>
          <w:szCs w:val="28"/>
          <w:lang w:val="kk-KZ"/>
        </w:rPr>
        <w:t xml:space="preserve">статистикалық </w:t>
      </w:r>
      <w:r w:rsidRPr="0086592A">
        <w:rPr>
          <w:rFonts w:ascii="Times New Roman" w:hAnsi="Times New Roman"/>
          <w:sz w:val="28"/>
          <w:szCs w:val="28"/>
          <w:lang w:val="kk-KZ"/>
        </w:rPr>
        <w:t>есепті</w:t>
      </w:r>
      <w:r w:rsidR="00FA782C">
        <w:rPr>
          <w:rFonts w:ascii="Times New Roman" w:hAnsi="Times New Roman"/>
          <w:sz w:val="28"/>
          <w:szCs w:val="28"/>
          <w:lang w:val="kk-KZ"/>
        </w:rPr>
        <w:t>лі</w:t>
      </w:r>
      <w:r w:rsidRPr="0086592A">
        <w:rPr>
          <w:rFonts w:ascii="Times New Roman" w:hAnsi="Times New Roman"/>
          <w:sz w:val="28"/>
          <w:szCs w:val="28"/>
          <w:lang w:val="kk-KZ"/>
        </w:rPr>
        <w:t>к негізінде қалыптастырылады.</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Орташа айлық жалақы есептелген жалақы қорының  сомасын (қосымша ақыларды, үстемақыларды, сыйлықақыларды, салықтарды және зейнетақы аударымдарын ескере отырып) кезеңдегі қызметкерлердің нақты санына бөлу арқылы </w:t>
      </w:r>
      <w:r w:rsidR="003F1138" w:rsidRPr="0086592A">
        <w:rPr>
          <w:rFonts w:ascii="Times New Roman" w:hAnsi="Times New Roman"/>
          <w:sz w:val="28"/>
          <w:szCs w:val="28"/>
          <w:lang w:val="kk-KZ"/>
        </w:rPr>
        <w:t xml:space="preserve">әр ұйымның деңгейінде де, өңірлер мен экономикалық қызмет түрлері бойынша да </w:t>
      </w:r>
      <w:r w:rsidRPr="0086592A">
        <w:rPr>
          <w:rFonts w:ascii="Times New Roman" w:hAnsi="Times New Roman"/>
          <w:sz w:val="28"/>
          <w:szCs w:val="28"/>
          <w:lang w:val="kk-KZ"/>
        </w:rPr>
        <w:t>есептеледі.</w:t>
      </w:r>
      <w:r w:rsidR="003F1138">
        <w:rPr>
          <w:rFonts w:ascii="Times New Roman" w:hAnsi="Times New Roman"/>
          <w:sz w:val="28"/>
          <w:szCs w:val="28"/>
          <w:lang w:val="kk-KZ"/>
        </w:rPr>
        <w:t xml:space="preserve"> </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Кәсіпорындардың 2023 жылғы 1 тоқсандағы есептерінің қорытындысы бойынша ҚР бойынша орташа айлық жалақы 340</w:t>
      </w:r>
      <w:r w:rsidR="003F2F92" w:rsidRPr="0086592A">
        <w:rPr>
          <w:rFonts w:ascii="Times New Roman" w:hAnsi="Times New Roman"/>
          <w:sz w:val="28"/>
          <w:szCs w:val="28"/>
          <w:lang w:val="kk-KZ"/>
        </w:rPr>
        <w:t xml:space="preserve"> </w:t>
      </w:r>
      <w:r w:rsidRPr="0086592A">
        <w:rPr>
          <w:rFonts w:ascii="Times New Roman" w:hAnsi="Times New Roman"/>
          <w:sz w:val="28"/>
          <w:szCs w:val="28"/>
          <w:lang w:val="kk-KZ"/>
        </w:rPr>
        <w:t>636 теңгені құрады.</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Өңірлер бөлінісінде ең жоғары ақы төленетін Атырау облысы болып табылады, онда 2023 жылдың 1 тоқсанының қорытындысы бойынша қызметкерлер </w:t>
      </w:r>
      <w:r w:rsidR="00470FD8" w:rsidRPr="0086592A">
        <w:rPr>
          <w:rFonts w:ascii="Times New Roman" w:hAnsi="Times New Roman"/>
          <w:sz w:val="28"/>
          <w:szCs w:val="28"/>
          <w:lang w:val="kk-KZ"/>
        </w:rPr>
        <w:t xml:space="preserve">618 420 теңге, </w:t>
      </w:r>
      <w:r w:rsidRPr="0086592A">
        <w:rPr>
          <w:rFonts w:ascii="Times New Roman" w:hAnsi="Times New Roman"/>
          <w:sz w:val="28"/>
          <w:szCs w:val="28"/>
          <w:lang w:val="kk-KZ"/>
        </w:rPr>
        <w:t>Қазақстан бо</w:t>
      </w:r>
      <w:r w:rsidR="00470FD8" w:rsidRPr="0086592A">
        <w:rPr>
          <w:rFonts w:ascii="Times New Roman" w:hAnsi="Times New Roman"/>
          <w:sz w:val="28"/>
          <w:szCs w:val="28"/>
          <w:lang w:val="kk-KZ"/>
        </w:rPr>
        <w:t>йынша орташа көрсеткіштен 81,5%-</w:t>
      </w:r>
      <w:r w:rsidRPr="0086592A">
        <w:rPr>
          <w:rFonts w:ascii="Times New Roman" w:hAnsi="Times New Roman"/>
          <w:sz w:val="28"/>
          <w:szCs w:val="28"/>
          <w:lang w:val="kk-KZ"/>
        </w:rPr>
        <w:t>ға артық алды. Одан кейін орташа жалақы республикалық деңгейден 1,5 есе жоғары Маңғыстау облысы</w:t>
      </w:r>
      <w:r w:rsidR="00470FD8" w:rsidRPr="0086592A">
        <w:rPr>
          <w:rFonts w:ascii="Times New Roman" w:hAnsi="Times New Roman"/>
          <w:sz w:val="28"/>
          <w:szCs w:val="28"/>
          <w:lang w:val="kk-KZ"/>
        </w:rPr>
        <w:t xml:space="preserve"> (509 818 теңге) </w:t>
      </w:r>
      <w:r w:rsidRPr="0086592A">
        <w:rPr>
          <w:rFonts w:ascii="Times New Roman" w:hAnsi="Times New Roman"/>
          <w:sz w:val="28"/>
          <w:szCs w:val="28"/>
          <w:lang w:val="kk-KZ"/>
        </w:rPr>
        <w:t>келеді.</w:t>
      </w:r>
    </w:p>
    <w:p w:rsidR="00470FD8" w:rsidRPr="0086592A" w:rsidRDefault="00470FD8" w:rsidP="00470FD8">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Бұл осы салалардағы қызметкерлердің жалақысы </w:t>
      </w:r>
      <w:r w:rsidR="003F1138">
        <w:rPr>
          <w:rFonts w:ascii="Times New Roman" w:hAnsi="Times New Roman"/>
          <w:sz w:val="28"/>
          <w:szCs w:val="28"/>
          <w:lang w:val="kk-KZ"/>
        </w:rPr>
        <w:t xml:space="preserve">көбіне жоғары жалақы төленетін сала балып табылатын </w:t>
      </w:r>
      <w:r w:rsidRPr="0086592A">
        <w:rPr>
          <w:rFonts w:ascii="Times New Roman" w:hAnsi="Times New Roman"/>
          <w:sz w:val="28"/>
          <w:szCs w:val="28"/>
          <w:lang w:val="kk-KZ"/>
        </w:rPr>
        <w:t xml:space="preserve">кен </w:t>
      </w:r>
      <w:r w:rsidR="00127509">
        <w:rPr>
          <w:rFonts w:ascii="Times New Roman" w:hAnsi="Times New Roman"/>
          <w:sz w:val="28"/>
          <w:szCs w:val="28"/>
          <w:lang w:val="kk-KZ"/>
        </w:rPr>
        <w:t xml:space="preserve">өндіру </w:t>
      </w:r>
      <w:r w:rsidRPr="0086592A">
        <w:rPr>
          <w:rFonts w:ascii="Times New Roman" w:hAnsi="Times New Roman"/>
          <w:sz w:val="28"/>
          <w:szCs w:val="28"/>
          <w:lang w:val="kk-KZ"/>
        </w:rPr>
        <w:t>өнеркәсібі есебінен қалыптас</w:t>
      </w:r>
      <w:r w:rsidR="00127509">
        <w:rPr>
          <w:rFonts w:ascii="Times New Roman" w:hAnsi="Times New Roman"/>
          <w:sz w:val="28"/>
          <w:szCs w:val="28"/>
          <w:lang w:val="kk-KZ"/>
        </w:rPr>
        <w:t>тырылатынына</w:t>
      </w:r>
      <w:r w:rsidRPr="0086592A">
        <w:rPr>
          <w:rFonts w:ascii="Times New Roman" w:hAnsi="Times New Roman"/>
          <w:sz w:val="28"/>
          <w:szCs w:val="28"/>
          <w:lang w:val="kk-KZ"/>
        </w:rPr>
        <w:t xml:space="preserve"> байланысты. 2023 жылдың 1 тоқсанының қорытындысы бойынша тау-кен өнеркәсібі қызметкерлерінің еңбегіне ақы төлеу орташа </w:t>
      </w:r>
      <w:r w:rsidR="00614177">
        <w:rPr>
          <w:rFonts w:ascii="Times New Roman" w:hAnsi="Times New Roman"/>
          <w:sz w:val="28"/>
          <w:szCs w:val="28"/>
          <w:lang w:val="kk-KZ"/>
        </w:rPr>
        <w:br/>
      </w:r>
      <w:r w:rsidRPr="0086592A">
        <w:rPr>
          <w:rFonts w:ascii="Times New Roman" w:hAnsi="Times New Roman"/>
          <w:sz w:val="28"/>
          <w:szCs w:val="28"/>
          <w:lang w:val="kk-KZ"/>
        </w:rPr>
        <w:t>766 555 теңге</w:t>
      </w:r>
      <w:r w:rsidR="00127509">
        <w:rPr>
          <w:rFonts w:ascii="Times New Roman" w:hAnsi="Times New Roman"/>
          <w:sz w:val="28"/>
          <w:szCs w:val="28"/>
          <w:lang w:val="kk-KZ"/>
        </w:rPr>
        <w:t>ні</w:t>
      </w:r>
      <w:r w:rsidRPr="0086592A">
        <w:rPr>
          <w:rFonts w:ascii="Times New Roman" w:hAnsi="Times New Roman"/>
          <w:sz w:val="28"/>
          <w:szCs w:val="28"/>
          <w:lang w:val="kk-KZ"/>
        </w:rPr>
        <w:t xml:space="preserve"> құрады, бұл республикалық деңгейден 2,</w:t>
      </w:r>
      <w:r w:rsidR="00E604AD" w:rsidRPr="0086592A">
        <w:rPr>
          <w:rFonts w:ascii="Times New Roman" w:hAnsi="Times New Roman"/>
          <w:sz w:val="28"/>
          <w:szCs w:val="28"/>
          <w:lang w:val="kk-KZ"/>
        </w:rPr>
        <w:t>2</w:t>
      </w:r>
      <w:r w:rsidRPr="0086592A">
        <w:rPr>
          <w:rFonts w:ascii="Times New Roman" w:hAnsi="Times New Roman"/>
          <w:sz w:val="28"/>
          <w:szCs w:val="28"/>
          <w:lang w:val="kk-KZ"/>
        </w:rPr>
        <w:t xml:space="preserve"> есе артық.</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Сонымен қатар, орташа айлық жалақы республикалық деңгейден әлдеқайда төмен </w:t>
      </w:r>
      <w:r w:rsidR="00127509">
        <w:rPr>
          <w:rFonts w:ascii="Times New Roman" w:hAnsi="Times New Roman"/>
          <w:sz w:val="28"/>
          <w:szCs w:val="28"/>
          <w:lang w:val="kk-KZ"/>
        </w:rPr>
        <w:t>өңірлер</w:t>
      </w:r>
      <w:r w:rsidRPr="0086592A">
        <w:rPr>
          <w:rFonts w:ascii="Times New Roman" w:hAnsi="Times New Roman"/>
          <w:sz w:val="28"/>
          <w:szCs w:val="28"/>
          <w:lang w:val="kk-KZ"/>
        </w:rPr>
        <w:t xml:space="preserve"> бар. Мысалы, Солтүстік Қазақстан облысында</w:t>
      </w:r>
      <w:r w:rsidR="003D31A3">
        <w:rPr>
          <w:rFonts w:ascii="Times New Roman" w:hAnsi="Times New Roman"/>
          <w:sz w:val="28"/>
          <w:szCs w:val="28"/>
          <w:lang w:val="kk-KZ"/>
        </w:rPr>
        <w:br/>
      </w:r>
      <w:r w:rsidRPr="0086592A">
        <w:rPr>
          <w:rFonts w:ascii="Times New Roman" w:hAnsi="Times New Roman"/>
          <w:sz w:val="28"/>
          <w:szCs w:val="28"/>
          <w:lang w:val="kk-KZ"/>
        </w:rPr>
        <w:t>2023 жылдың 1 тоқсанының қорытындысы бойынша жалақы орташ</w:t>
      </w:r>
      <w:r w:rsidR="003F2F92" w:rsidRPr="0086592A">
        <w:rPr>
          <w:rFonts w:ascii="Times New Roman" w:hAnsi="Times New Roman"/>
          <w:sz w:val="28"/>
          <w:szCs w:val="28"/>
          <w:lang w:val="kk-KZ"/>
        </w:rPr>
        <w:t>а республикалық деңгейден 29,2%-</w:t>
      </w:r>
      <w:r w:rsidRPr="0086592A">
        <w:rPr>
          <w:rFonts w:ascii="Times New Roman" w:hAnsi="Times New Roman"/>
          <w:sz w:val="28"/>
          <w:szCs w:val="28"/>
          <w:lang w:val="kk-KZ"/>
        </w:rPr>
        <w:t>ға, Жетісу облысында 27,7%-ға төмен болды.</w:t>
      </w:r>
    </w:p>
    <w:p w:rsidR="00864C93" w:rsidRPr="0086592A" w:rsidRDefault="00864C93"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Салалар бөлінісінде орташа республикалық деңгеймен салыстырғанда төмен ақы төленетін</w:t>
      </w:r>
      <w:r w:rsidR="00127509">
        <w:rPr>
          <w:rFonts w:ascii="Times New Roman" w:hAnsi="Times New Roman"/>
          <w:sz w:val="28"/>
          <w:szCs w:val="28"/>
          <w:lang w:val="kk-KZ"/>
        </w:rPr>
        <w:t xml:space="preserve"> саланың</w:t>
      </w:r>
      <w:r w:rsidRPr="0086592A">
        <w:rPr>
          <w:rFonts w:ascii="Times New Roman" w:hAnsi="Times New Roman"/>
          <w:sz w:val="28"/>
          <w:szCs w:val="28"/>
          <w:lang w:val="kk-KZ"/>
        </w:rPr>
        <w:t xml:space="preserve"> бірі </w:t>
      </w:r>
      <w:r w:rsidR="003F2F92" w:rsidRPr="0086592A">
        <w:rPr>
          <w:rFonts w:ascii="Times New Roman" w:hAnsi="Times New Roman"/>
          <w:sz w:val="28"/>
          <w:szCs w:val="28"/>
          <w:lang w:val="kk-KZ"/>
        </w:rPr>
        <w:t>–</w:t>
      </w:r>
      <w:r w:rsidRPr="0086592A">
        <w:rPr>
          <w:rFonts w:ascii="Times New Roman" w:hAnsi="Times New Roman"/>
          <w:sz w:val="28"/>
          <w:szCs w:val="28"/>
          <w:lang w:val="kk-KZ"/>
        </w:rPr>
        <w:t xml:space="preserve"> ауыл, орман және балық шаруашылығы </w:t>
      </w:r>
      <w:r w:rsidR="00127509">
        <w:rPr>
          <w:rFonts w:ascii="Times New Roman" w:hAnsi="Times New Roman"/>
          <w:sz w:val="28"/>
          <w:szCs w:val="28"/>
          <w:lang w:val="kk-KZ"/>
        </w:rPr>
        <w:t>ҚР бойынша</w:t>
      </w:r>
      <w:r w:rsidRPr="0086592A">
        <w:rPr>
          <w:rFonts w:ascii="Times New Roman" w:hAnsi="Times New Roman"/>
          <w:sz w:val="28"/>
          <w:szCs w:val="28"/>
          <w:lang w:val="kk-KZ"/>
        </w:rPr>
        <w:t xml:space="preserve"> қарағанда 47,3%-ға, сумен жабдықтау; қалдықтарды жинау, өңдеу және жою, ластануды жою бойынша қызмет 40,7%-ға, өнер</w:t>
      </w:r>
      <w:r w:rsidR="003F2F92" w:rsidRPr="0086592A">
        <w:rPr>
          <w:rFonts w:ascii="Times New Roman" w:hAnsi="Times New Roman"/>
          <w:sz w:val="28"/>
          <w:szCs w:val="28"/>
          <w:lang w:val="kk-KZ"/>
        </w:rPr>
        <w:t>, ойын-сауық және демалыс 40,4%-</w:t>
      </w:r>
      <w:r w:rsidRPr="0086592A">
        <w:rPr>
          <w:rFonts w:ascii="Times New Roman" w:hAnsi="Times New Roman"/>
          <w:sz w:val="28"/>
          <w:szCs w:val="28"/>
          <w:lang w:val="kk-KZ"/>
        </w:rPr>
        <w:t xml:space="preserve">ға </w:t>
      </w:r>
      <w:r w:rsidR="00127509" w:rsidRPr="0086592A">
        <w:rPr>
          <w:rFonts w:ascii="Times New Roman" w:hAnsi="Times New Roman"/>
          <w:sz w:val="28"/>
          <w:szCs w:val="28"/>
          <w:lang w:val="kk-KZ"/>
        </w:rPr>
        <w:t xml:space="preserve">төмен </w:t>
      </w:r>
      <w:r w:rsidRPr="0086592A">
        <w:rPr>
          <w:rFonts w:ascii="Times New Roman" w:hAnsi="Times New Roman"/>
          <w:sz w:val="28"/>
          <w:szCs w:val="28"/>
          <w:lang w:val="kk-KZ"/>
        </w:rPr>
        <w:t>болып табылады.</w:t>
      </w:r>
    </w:p>
    <w:p w:rsidR="00864C93" w:rsidRPr="0086592A" w:rsidRDefault="00470FD8" w:rsidP="00864C93">
      <w:pPr>
        <w:pStyle w:val="OsnTxt"/>
        <w:spacing w:line="240" w:lineRule="auto"/>
        <w:ind w:firstLine="708"/>
        <w:rPr>
          <w:rFonts w:ascii="Times New Roman" w:hAnsi="Times New Roman"/>
          <w:sz w:val="28"/>
          <w:szCs w:val="28"/>
          <w:lang w:val="kk-KZ"/>
        </w:rPr>
      </w:pPr>
      <w:r w:rsidRPr="0086592A">
        <w:rPr>
          <w:rFonts w:ascii="Times New Roman" w:hAnsi="Times New Roman"/>
          <w:sz w:val="28"/>
          <w:szCs w:val="28"/>
          <w:lang w:val="kk-KZ"/>
        </w:rPr>
        <w:t xml:space="preserve">Осылайша, </w:t>
      </w:r>
      <w:r w:rsidR="00127509">
        <w:rPr>
          <w:rFonts w:ascii="Times New Roman" w:hAnsi="Times New Roman"/>
          <w:sz w:val="28"/>
          <w:szCs w:val="28"/>
          <w:lang w:val="kk-KZ"/>
        </w:rPr>
        <w:t>өңірлік</w:t>
      </w:r>
      <w:r w:rsidRPr="0086592A">
        <w:rPr>
          <w:rFonts w:ascii="Times New Roman" w:hAnsi="Times New Roman"/>
          <w:sz w:val="28"/>
          <w:szCs w:val="28"/>
          <w:lang w:val="kk-KZ"/>
        </w:rPr>
        <w:t xml:space="preserve"> және салалық айырмашылықты есепке ала отырып</w:t>
      </w:r>
      <w:r w:rsidR="00127509">
        <w:rPr>
          <w:rFonts w:ascii="Times New Roman" w:hAnsi="Times New Roman"/>
          <w:sz w:val="28"/>
          <w:szCs w:val="28"/>
          <w:lang w:val="kk-KZ"/>
        </w:rPr>
        <w:t>,</w:t>
      </w:r>
      <w:r w:rsidRPr="0086592A">
        <w:rPr>
          <w:rFonts w:ascii="Times New Roman" w:hAnsi="Times New Roman"/>
          <w:sz w:val="28"/>
          <w:szCs w:val="28"/>
          <w:lang w:val="kk-KZ"/>
        </w:rPr>
        <w:t xml:space="preserve"> </w:t>
      </w:r>
      <w:r w:rsidR="00614177">
        <w:rPr>
          <w:rFonts w:ascii="Times New Roman" w:hAnsi="Times New Roman"/>
          <w:sz w:val="28"/>
          <w:szCs w:val="28"/>
          <w:lang w:val="kk-KZ"/>
        </w:rPr>
        <w:br/>
      </w:r>
      <w:r w:rsidR="00864C93" w:rsidRPr="0086592A">
        <w:rPr>
          <w:rFonts w:ascii="Times New Roman" w:hAnsi="Times New Roman"/>
          <w:sz w:val="28"/>
          <w:szCs w:val="28"/>
          <w:lang w:val="kk-KZ"/>
        </w:rPr>
        <w:t>2023 жылдың 1 тоқсанында Қазақстан Республикасы бойынша орташа айлық жалақы 340</w:t>
      </w:r>
      <w:r w:rsidRPr="0086592A">
        <w:rPr>
          <w:rFonts w:ascii="Times New Roman" w:hAnsi="Times New Roman"/>
          <w:sz w:val="28"/>
          <w:szCs w:val="28"/>
          <w:lang w:val="kk-KZ"/>
        </w:rPr>
        <w:t xml:space="preserve"> </w:t>
      </w:r>
      <w:r w:rsidR="00864C93" w:rsidRPr="0086592A">
        <w:rPr>
          <w:rFonts w:ascii="Times New Roman" w:hAnsi="Times New Roman"/>
          <w:sz w:val="28"/>
          <w:szCs w:val="28"/>
          <w:lang w:val="kk-KZ"/>
        </w:rPr>
        <w:t>636 теңгені құрады.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lastRenderedPageBreak/>
        <w:t xml:space="preserve">Түсінікті болу үшін біз 2022 жылы кәсіпорындарды зерттеу </w:t>
      </w:r>
      <w:r w:rsidR="00127509">
        <w:rPr>
          <w:rFonts w:eastAsia="Calibri"/>
          <w:sz w:val="28"/>
          <w:szCs w:val="28"/>
          <w:lang w:val="kk-KZ"/>
        </w:rPr>
        <w:t>қорытындысы бойынша</w:t>
      </w:r>
      <w:r w:rsidRPr="0086592A">
        <w:rPr>
          <w:rFonts w:eastAsia="Calibri"/>
          <w:sz w:val="28"/>
          <w:szCs w:val="28"/>
          <w:lang w:val="kk-KZ"/>
        </w:rPr>
        <w:t xml:space="preserve"> жалақы мөлшері бойынша қызметкерлер санын бөлуді ұсынамыз.</w:t>
      </w:r>
    </w:p>
    <w:p w:rsidR="00864C93" w:rsidRPr="0086592A" w:rsidRDefault="00864C93" w:rsidP="00864C93">
      <w:pPr>
        <w:ind w:firstLine="709"/>
        <w:jc w:val="both"/>
        <w:rPr>
          <w:rFonts w:eastAsia="Calibri"/>
          <w:sz w:val="28"/>
          <w:szCs w:val="28"/>
          <w:lang w:val="kk-KZ"/>
        </w:rPr>
      </w:pPr>
    </w:p>
    <w:p w:rsidR="00864C93" w:rsidRPr="0086592A" w:rsidRDefault="00864C93" w:rsidP="00864C93">
      <w:pPr>
        <w:jc w:val="center"/>
        <w:rPr>
          <w:rFonts w:eastAsia="Calibri"/>
          <w:b/>
          <w:color w:val="000000" w:themeColor="text1"/>
          <w:lang w:val="kk-KZ"/>
        </w:rPr>
      </w:pPr>
      <w:r w:rsidRPr="0086592A">
        <w:rPr>
          <w:rFonts w:eastAsia="Calibri"/>
          <w:b/>
          <w:lang w:val="kk-KZ"/>
        </w:rPr>
        <w:t>2022 жылға Қазақстан Республикасындағы орташа жалақы мөлшері бойынша қызметкерлер санын бөлу, %</w:t>
      </w:r>
      <w:r w:rsidRPr="0086592A">
        <w:rPr>
          <w:rFonts w:eastAsia="Calibri"/>
          <w:b/>
          <w:color w:val="000000" w:themeColor="text1"/>
          <w:lang w:val="kk-KZ"/>
        </w:rPr>
        <w:t xml:space="preserve"> </w:t>
      </w:r>
    </w:p>
    <w:p w:rsidR="00864C93" w:rsidRPr="0086592A" w:rsidRDefault="00864C93" w:rsidP="00864C93">
      <w:pPr>
        <w:jc w:val="both"/>
        <w:rPr>
          <w:rFonts w:eastAsia="Calibri"/>
          <w:sz w:val="28"/>
          <w:szCs w:val="28"/>
          <w:lang w:val="kk-KZ"/>
        </w:rPr>
      </w:pPr>
      <w:r w:rsidRPr="0086592A">
        <w:rPr>
          <w:rFonts w:eastAsia="Calibri"/>
          <w:noProof/>
          <w:szCs w:val="28"/>
        </w:rPr>
        <w:drawing>
          <wp:inline distT="0" distB="0" distL="0" distR="0">
            <wp:extent cx="6154978" cy="17767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154978" cy="1776790"/>
                    </a:xfrm>
                    <a:prstGeom prst="rect">
                      <a:avLst/>
                    </a:prstGeom>
                    <a:noFill/>
                    <a:ln w="9525">
                      <a:noFill/>
                      <a:miter lim="800000"/>
                      <a:headEnd/>
                      <a:tailEnd/>
                    </a:ln>
                  </pic:spPr>
                </pic:pic>
              </a:graphicData>
            </a:graphic>
          </wp:inline>
        </w:drawing>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Есепті деректерге сәйкес </w:t>
      </w:r>
      <w:r w:rsidR="00127509">
        <w:rPr>
          <w:rFonts w:eastAsia="Calibri"/>
          <w:sz w:val="28"/>
          <w:szCs w:val="28"/>
          <w:lang w:val="kk-KZ"/>
        </w:rPr>
        <w:t>зерттелген</w:t>
      </w:r>
      <w:r w:rsidRPr="0086592A">
        <w:rPr>
          <w:rFonts w:eastAsia="Calibri"/>
          <w:sz w:val="28"/>
          <w:szCs w:val="28"/>
          <w:lang w:val="kk-KZ"/>
        </w:rPr>
        <w:t xml:space="preserve"> кәсіпорындар қызметкерлерінің 5,7%-ы 70 мың теңгеге дейін жалақы алды, 70 мыңнан 150 мың теңгеге дейін – 28,0%, </w:t>
      </w:r>
      <w:r w:rsidR="00614177">
        <w:rPr>
          <w:rFonts w:eastAsia="Calibri"/>
          <w:sz w:val="28"/>
          <w:szCs w:val="28"/>
          <w:lang w:val="kk-KZ"/>
        </w:rPr>
        <w:br/>
      </w:r>
      <w:r w:rsidRPr="0086592A">
        <w:rPr>
          <w:rFonts w:eastAsia="Calibri"/>
          <w:sz w:val="28"/>
          <w:szCs w:val="28"/>
          <w:lang w:val="kk-KZ"/>
        </w:rPr>
        <w:t xml:space="preserve">150 мыңнан 300 мыңға дейін – 37,6%, 300 мыңнан 420 мыңға дейін – 14,4%, </w:t>
      </w:r>
      <w:r w:rsidR="00614177">
        <w:rPr>
          <w:rFonts w:eastAsia="Calibri"/>
          <w:sz w:val="28"/>
          <w:szCs w:val="28"/>
          <w:lang w:val="kk-KZ"/>
        </w:rPr>
        <w:br/>
      </w:r>
      <w:r w:rsidRPr="0086592A">
        <w:rPr>
          <w:rFonts w:eastAsia="Calibri"/>
          <w:sz w:val="28"/>
          <w:szCs w:val="28"/>
          <w:lang w:val="kk-KZ"/>
        </w:rPr>
        <w:t>420 мыңнан астам – 14,2%.</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Егер сіз осы диаграмманы қызметкерлер саны бойынша екі тең жартыға бөлсеңіз, онда сарапшылар жалақының қосымша орташа мөлшері ретінде пайдаланатын медиана анықталады.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2022 жылы Бюро тоқсандық негізде медиананы бағалауды жариялай бастады. 2023 жылдың 1 тоқсанында бағалау бойынша медиана 225 736 теңгені құрады.</w:t>
      </w:r>
    </w:p>
    <w:p w:rsidR="00864C93" w:rsidRPr="0086592A" w:rsidRDefault="00864C93" w:rsidP="00864C93">
      <w:pPr>
        <w:tabs>
          <w:tab w:val="left" w:pos="993"/>
        </w:tabs>
        <w:ind w:firstLine="709"/>
        <w:jc w:val="both"/>
        <w:rPr>
          <w:rFonts w:eastAsia="Calibri"/>
          <w:sz w:val="28"/>
          <w:szCs w:val="28"/>
          <w:lang w:val="kk-KZ"/>
        </w:rPr>
      </w:pPr>
      <w:r w:rsidRPr="0086592A">
        <w:rPr>
          <w:rFonts w:eastAsia="Calibri"/>
          <w:b/>
          <w:sz w:val="28"/>
          <w:szCs w:val="28"/>
          <w:lang w:val="kk-KZ"/>
        </w:rPr>
        <w:t xml:space="preserve">«Халықтың жан басына шаққандағы орташа табысы» ұғымы «жалақы» ұғымынан </w:t>
      </w:r>
      <w:r w:rsidR="00127509">
        <w:rPr>
          <w:rFonts w:eastAsia="Calibri"/>
          <w:b/>
          <w:sz w:val="28"/>
          <w:szCs w:val="28"/>
          <w:lang w:val="kk-KZ"/>
        </w:rPr>
        <w:t>тұжырымдамалық тұрғыдан</w:t>
      </w:r>
      <w:r w:rsidRPr="0086592A">
        <w:rPr>
          <w:rFonts w:eastAsia="Calibri"/>
          <w:b/>
          <w:sz w:val="28"/>
          <w:szCs w:val="28"/>
          <w:lang w:val="kk-KZ"/>
        </w:rPr>
        <w:t xml:space="preserve"> ерекшеленетініне назар аударамыз.</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Жалақы табыстың негізгі компоненттерінің бірі болып табылады. Халықтың табыстарына еңбек қызметінен түсетін табыстар (жалақы және кәсіпкерлік қызметтен түсетін табыстар), әлеуметтік трансферттер және басқа да ақшалай түсімдер жатады. Халық табыстарының құрылымының ең үлкен үлесін еңбек қызметінен түсетін табыстар </w:t>
      </w:r>
      <w:r w:rsidR="00470FD8" w:rsidRPr="0086592A">
        <w:rPr>
          <w:rFonts w:eastAsia="Calibri"/>
          <w:sz w:val="28"/>
          <w:szCs w:val="28"/>
          <w:lang w:val="kk-KZ"/>
        </w:rPr>
        <w:t>–</w:t>
      </w:r>
      <w:r w:rsidRPr="0086592A">
        <w:rPr>
          <w:rFonts w:eastAsia="Calibri"/>
          <w:sz w:val="28"/>
          <w:szCs w:val="28"/>
          <w:lang w:val="kk-KZ"/>
        </w:rPr>
        <w:t xml:space="preserve"> 76%, әлеуметтік трансферттерден түсетін табыстар </w:t>
      </w:r>
      <w:r w:rsidR="00470FD8" w:rsidRPr="0086592A">
        <w:rPr>
          <w:rFonts w:eastAsia="Calibri"/>
          <w:sz w:val="28"/>
          <w:szCs w:val="28"/>
          <w:lang w:val="kk-KZ"/>
        </w:rPr>
        <w:t>– 12%, өзін-</w:t>
      </w:r>
      <w:r w:rsidRPr="0086592A">
        <w:rPr>
          <w:rFonts w:eastAsia="Calibri"/>
          <w:sz w:val="28"/>
          <w:szCs w:val="28"/>
          <w:lang w:val="kk-KZ"/>
        </w:rPr>
        <w:t xml:space="preserve">өзі жұмыспен қамтудан түсетін табыстар </w:t>
      </w:r>
      <w:r w:rsidR="00FF63A6" w:rsidRPr="0086592A">
        <w:rPr>
          <w:rFonts w:eastAsia="Calibri"/>
          <w:sz w:val="28"/>
          <w:szCs w:val="28"/>
          <w:lang w:val="kk-KZ"/>
        </w:rPr>
        <w:t>–</w:t>
      </w:r>
      <w:r w:rsidRPr="0086592A">
        <w:rPr>
          <w:rFonts w:eastAsia="Calibri"/>
          <w:sz w:val="28"/>
          <w:szCs w:val="28"/>
          <w:lang w:val="kk-KZ"/>
        </w:rPr>
        <w:t xml:space="preserve"> 11% және басқа да ақшалай табыстар</w:t>
      </w:r>
      <w:r w:rsidR="00470FD8" w:rsidRPr="0086592A">
        <w:rPr>
          <w:rFonts w:eastAsia="Calibri"/>
          <w:sz w:val="28"/>
          <w:szCs w:val="28"/>
          <w:lang w:val="kk-KZ"/>
        </w:rPr>
        <w:t xml:space="preserve"> – </w:t>
      </w:r>
      <w:r w:rsidRPr="0086592A">
        <w:rPr>
          <w:rFonts w:eastAsia="Calibri"/>
          <w:sz w:val="28"/>
          <w:szCs w:val="28"/>
          <w:lang w:val="kk-KZ"/>
        </w:rPr>
        <w:t>1% құрайтынын көрсетеді.</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Халықтың табысы бойынша деректер жан басына шаққанда қалыптастырылатынын түсіндіреміз. Яғни, үй шаруашылығының барлық табыстарының сомасы оның барлық мүшелеріне, соның ішінде балаларға, зейнеткерлерге, жұмыссыздарға және басқаларға бөлінеді. </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Осы екі ұғымның арасындағы айырмашылықты нақты көрсететін мысал келтірейік.</w:t>
      </w:r>
    </w:p>
    <w:p w:rsidR="00864C93" w:rsidRPr="0086592A" w:rsidRDefault="00864C93" w:rsidP="00864C93">
      <w:pPr>
        <w:ind w:firstLine="709"/>
        <w:jc w:val="both"/>
        <w:rPr>
          <w:rFonts w:eastAsia="Calibri"/>
          <w:i/>
          <w:sz w:val="28"/>
          <w:szCs w:val="28"/>
          <w:lang w:val="kk-KZ"/>
        </w:rPr>
      </w:pPr>
      <w:r w:rsidRPr="0086592A">
        <w:rPr>
          <w:rFonts w:eastAsia="Calibri"/>
          <w:i/>
          <w:sz w:val="28"/>
          <w:szCs w:val="28"/>
          <w:lang w:val="kk-KZ"/>
        </w:rPr>
        <w:t>Үй шаруашылығы 6 адамнан тұрады:</w:t>
      </w:r>
    </w:p>
    <w:p w:rsidR="00864C93" w:rsidRPr="0086592A" w:rsidRDefault="00127509" w:rsidP="00864C93">
      <w:pPr>
        <w:ind w:firstLine="709"/>
        <w:jc w:val="both"/>
        <w:rPr>
          <w:rFonts w:eastAsia="Calibri"/>
          <w:i/>
          <w:sz w:val="28"/>
          <w:szCs w:val="28"/>
          <w:lang w:val="kk-KZ"/>
        </w:rPr>
      </w:pPr>
      <w:r>
        <w:rPr>
          <w:rFonts w:eastAsia="Calibri"/>
          <w:i/>
          <w:sz w:val="28"/>
          <w:szCs w:val="28"/>
          <w:lang w:val="kk-KZ"/>
        </w:rPr>
        <w:t>к</w:t>
      </w:r>
      <w:r w:rsidR="00864C93" w:rsidRPr="0086592A">
        <w:rPr>
          <w:rFonts w:eastAsia="Calibri"/>
          <w:i/>
          <w:sz w:val="28"/>
          <w:szCs w:val="28"/>
          <w:lang w:val="kk-KZ"/>
        </w:rPr>
        <w:t>үйеуі</w:t>
      </w:r>
      <w:r>
        <w:rPr>
          <w:rFonts w:eastAsia="Calibri"/>
          <w:i/>
          <w:sz w:val="28"/>
          <w:szCs w:val="28"/>
          <w:lang w:val="kk-KZ"/>
        </w:rPr>
        <w:t xml:space="preserve"> </w:t>
      </w:r>
      <w:r w:rsidR="003D31A3">
        <w:rPr>
          <w:rFonts w:eastAsia="Calibri"/>
          <w:i/>
          <w:sz w:val="28"/>
          <w:szCs w:val="28"/>
          <w:lang w:val="kk-KZ"/>
        </w:rPr>
        <w:t>–</w:t>
      </w:r>
      <w:r>
        <w:rPr>
          <w:rFonts w:eastAsia="Calibri"/>
          <w:i/>
          <w:sz w:val="28"/>
          <w:szCs w:val="28"/>
          <w:lang w:val="kk-KZ"/>
        </w:rPr>
        <w:t xml:space="preserve"> </w:t>
      </w:r>
      <w:r w:rsidR="00864C93" w:rsidRPr="0086592A">
        <w:rPr>
          <w:rFonts w:eastAsia="Calibri"/>
          <w:i/>
          <w:sz w:val="28"/>
          <w:szCs w:val="28"/>
          <w:lang w:val="kk-KZ"/>
        </w:rPr>
        <w:t>айына 210 мың теңге мөлшерінде жалақы;</w:t>
      </w:r>
    </w:p>
    <w:p w:rsidR="00864C93" w:rsidRPr="0086592A" w:rsidRDefault="00864C93" w:rsidP="00864C93">
      <w:pPr>
        <w:ind w:firstLine="709"/>
        <w:jc w:val="both"/>
        <w:rPr>
          <w:rFonts w:eastAsia="Calibri"/>
          <w:i/>
          <w:sz w:val="28"/>
          <w:szCs w:val="28"/>
          <w:lang w:val="kk-KZ"/>
        </w:rPr>
      </w:pPr>
      <w:r w:rsidRPr="0086592A">
        <w:rPr>
          <w:rFonts w:eastAsia="Calibri"/>
          <w:i/>
          <w:sz w:val="28"/>
          <w:szCs w:val="28"/>
          <w:lang w:val="kk-KZ"/>
        </w:rPr>
        <w:t>әйелі</w:t>
      </w:r>
      <w:r w:rsidR="00127509">
        <w:rPr>
          <w:rFonts w:eastAsia="Calibri"/>
          <w:i/>
          <w:sz w:val="28"/>
          <w:szCs w:val="28"/>
          <w:lang w:val="kk-KZ"/>
        </w:rPr>
        <w:t xml:space="preserve"> </w:t>
      </w:r>
      <w:r w:rsidR="003D31A3">
        <w:rPr>
          <w:rFonts w:eastAsia="Calibri"/>
          <w:i/>
          <w:sz w:val="28"/>
          <w:szCs w:val="28"/>
          <w:lang w:val="kk-KZ"/>
        </w:rPr>
        <w:t>–</w:t>
      </w:r>
      <w:r w:rsidR="00127509">
        <w:rPr>
          <w:rFonts w:eastAsia="Calibri"/>
          <w:i/>
          <w:sz w:val="28"/>
          <w:szCs w:val="28"/>
          <w:lang w:val="kk-KZ"/>
        </w:rPr>
        <w:t xml:space="preserve"> </w:t>
      </w:r>
      <w:r w:rsidRPr="0086592A">
        <w:rPr>
          <w:rFonts w:eastAsia="Calibri"/>
          <w:i/>
          <w:sz w:val="28"/>
          <w:szCs w:val="28"/>
          <w:lang w:val="kk-KZ"/>
        </w:rPr>
        <w:t>бала күтімі бойынша демалыста, бала күтімі бойынша жәрдемақы алады 30 мың теңге;</w:t>
      </w:r>
    </w:p>
    <w:p w:rsidR="00864C93" w:rsidRPr="0086592A" w:rsidRDefault="00864C93" w:rsidP="00864C93">
      <w:pPr>
        <w:ind w:firstLine="709"/>
        <w:jc w:val="both"/>
        <w:rPr>
          <w:rFonts w:eastAsia="Calibri"/>
          <w:i/>
          <w:sz w:val="28"/>
          <w:szCs w:val="28"/>
          <w:lang w:val="kk-KZ"/>
        </w:rPr>
      </w:pPr>
      <w:r w:rsidRPr="0086592A">
        <w:rPr>
          <w:rFonts w:eastAsia="Calibri"/>
          <w:i/>
          <w:sz w:val="28"/>
          <w:szCs w:val="28"/>
          <w:lang w:val="kk-KZ"/>
        </w:rPr>
        <w:t>3 кәмелетке толмаған бала – асырауында;</w:t>
      </w:r>
    </w:p>
    <w:p w:rsidR="00864C93" w:rsidRPr="0086592A" w:rsidRDefault="00864C93" w:rsidP="00864C93">
      <w:pPr>
        <w:ind w:firstLine="709"/>
        <w:jc w:val="both"/>
        <w:rPr>
          <w:rFonts w:eastAsia="Calibri"/>
          <w:i/>
          <w:sz w:val="28"/>
          <w:szCs w:val="28"/>
          <w:lang w:val="kk-KZ"/>
        </w:rPr>
      </w:pPr>
      <w:r w:rsidRPr="0086592A">
        <w:rPr>
          <w:rFonts w:eastAsia="Calibri"/>
          <w:i/>
          <w:sz w:val="28"/>
          <w:szCs w:val="28"/>
          <w:lang w:val="kk-KZ"/>
        </w:rPr>
        <w:t>күйеуінің анасы (зейнеткер) – зейнетақы 67 500 теңге.</w:t>
      </w:r>
    </w:p>
    <w:p w:rsidR="00864C93" w:rsidRPr="0086592A" w:rsidRDefault="00864C93" w:rsidP="00864C93">
      <w:pPr>
        <w:ind w:firstLine="709"/>
        <w:jc w:val="both"/>
        <w:rPr>
          <w:rFonts w:eastAsia="Calibri"/>
          <w:sz w:val="28"/>
          <w:szCs w:val="28"/>
          <w:lang w:val="kk-KZ"/>
        </w:rPr>
      </w:pPr>
      <w:r w:rsidRPr="0086592A">
        <w:rPr>
          <w:rFonts w:eastAsia="Calibri"/>
          <w:i/>
          <w:sz w:val="28"/>
          <w:szCs w:val="28"/>
          <w:lang w:val="kk-KZ"/>
        </w:rPr>
        <w:t xml:space="preserve">Үй шаруашылығының жалпы табысы:210 мың+30 мың+67,5 мың теңге =307,5 мың теңге/6 адам=51 250 теңге. Осы мысалға сүйене отырып, осы үй </w:t>
      </w:r>
      <w:r w:rsidRPr="0086592A">
        <w:rPr>
          <w:rFonts w:eastAsia="Calibri"/>
          <w:i/>
          <w:sz w:val="28"/>
          <w:szCs w:val="28"/>
          <w:lang w:val="kk-KZ"/>
        </w:rPr>
        <w:lastRenderedPageBreak/>
        <w:t>шаруашылығында айына жан басына шаққандағы табыс орташа есеппен</w:t>
      </w:r>
      <w:r w:rsidR="003D31A3">
        <w:rPr>
          <w:rFonts w:eastAsia="Calibri"/>
          <w:i/>
          <w:sz w:val="28"/>
          <w:szCs w:val="28"/>
          <w:lang w:val="kk-KZ"/>
        </w:rPr>
        <w:br/>
      </w:r>
      <w:r w:rsidRPr="0086592A">
        <w:rPr>
          <w:rFonts w:eastAsia="Calibri"/>
          <w:i/>
          <w:sz w:val="28"/>
          <w:szCs w:val="28"/>
          <w:lang w:val="kk-KZ"/>
        </w:rPr>
        <w:t>51 250 теңгені құрайды.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Халықтың жан басына шаққандағы орташа номиналды ақшалай табыстары туралы ақпарат ай сайынғы, тоқсандық және жылдық негізде қалыптастырылады. Көрсеткішті есептеу халықтың табыстары (жалдамалы жұмыспен қамтудан түсетін табыстар (жалақы), дербес жұмыспен қамтудан түсетін табыстар, төленген әлеуметтік трансферттер, өзге де табыстар) туралы барлық деректерді (статистикалық және әкімшілік) халықтың табыстарын жасыруға жете есептеуді ескере отырып, біріктіру жолымен жүзеге асырылады.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2022 жылдың қорытындысы бойынша Қазақстан Республикасы бойынша халықтың жан басына шаққандағы орташа номиналды ақшалай табысы айына </w:t>
      </w:r>
      <w:r w:rsidR="00614177">
        <w:rPr>
          <w:rFonts w:eastAsia="Calibri"/>
          <w:sz w:val="28"/>
          <w:szCs w:val="28"/>
          <w:lang w:val="kk-KZ"/>
        </w:rPr>
        <w:br/>
      </w:r>
      <w:r w:rsidRPr="0086592A">
        <w:rPr>
          <w:rFonts w:eastAsia="Calibri"/>
          <w:sz w:val="28"/>
          <w:szCs w:val="28"/>
          <w:lang w:val="kk-KZ"/>
        </w:rPr>
        <w:t xml:space="preserve">154 417 теңгені құрады. </w:t>
      </w:r>
    </w:p>
    <w:p w:rsidR="00470FD8" w:rsidRPr="0086592A" w:rsidRDefault="00864C93" w:rsidP="00470FD8">
      <w:pPr>
        <w:pStyle w:val="af8"/>
        <w:ind w:left="0" w:firstLine="709"/>
        <w:jc w:val="both"/>
        <w:rPr>
          <w:rFonts w:eastAsia="Calibri"/>
          <w:sz w:val="28"/>
          <w:szCs w:val="28"/>
          <w:lang w:val="kk-KZ"/>
        </w:rPr>
      </w:pPr>
      <w:r w:rsidRPr="0086592A">
        <w:rPr>
          <w:rFonts w:eastAsia="Calibri"/>
          <w:sz w:val="28"/>
          <w:szCs w:val="28"/>
          <w:lang w:val="kk-KZ"/>
        </w:rPr>
        <w:t>Өтініште келтірілген ақпарат «халықтың жартысында айлық табысы</w:t>
      </w:r>
      <w:r w:rsidR="003D31A3">
        <w:rPr>
          <w:rFonts w:eastAsia="Calibri"/>
          <w:sz w:val="28"/>
          <w:szCs w:val="28"/>
          <w:lang w:val="kk-KZ"/>
        </w:rPr>
        <w:br/>
      </w:r>
      <w:r w:rsidRPr="0086592A">
        <w:rPr>
          <w:rFonts w:eastAsia="Calibri"/>
          <w:sz w:val="28"/>
          <w:szCs w:val="28"/>
          <w:lang w:val="kk-KZ"/>
        </w:rPr>
        <w:t>50 мың теңгеден аспайды» 2020 жылы үй шаруашылықтарының бюджеттерін іріктеп тексеру қорытындысы бойынша (респонденттердің сөзімен) қалыптастырылды. Өткен екі жылда жағдай айтарлықтай өзгерді 2021 жылы халықтың 41,5% – 50 мың теңгеден аз табыс тапса, 2022 жылы ол 27,8%-ды көрсетті.</w:t>
      </w:r>
      <w:r w:rsidR="00470FD8" w:rsidRPr="0086592A">
        <w:rPr>
          <w:rFonts w:eastAsia="Calibri"/>
          <w:sz w:val="28"/>
          <w:szCs w:val="28"/>
          <w:lang w:val="kk-KZ"/>
        </w:rPr>
        <w:t xml:space="preserve"> 2020 жылдан 2022 жыл аралығында халықтың жан басына шаққандағы орташа табысы номиналды мәнде 33% және нақты мәнде 7% өсті.</w:t>
      </w:r>
    </w:p>
    <w:p w:rsidR="00864C93" w:rsidRPr="0086592A" w:rsidRDefault="00864C93" w:rsidP="00864C93">
      <w:pPr>
        <w:pStyle w:val="af8"/>
        <w:spacing w:before="120"/>
        <w:ind w:left="0" w:firstLine="709"/>
        <w:jc w:val="both"/>
        <w:rPr>
          <w:rFonts w:eastAsia="Calibri"/>
          <w:i/>
          <w:sz w:val="28"/>
          <w:szCs w:val="28"/>
          <w:lang w:val="kk-KZ"/>
        </w:rPr>
      </w:pPr>
      <w:r w:rsidRPr="0086592A">
        <w:rPr>
          <w:rFonts w:eastAsia="Calibri"/>
          <w:b/>
          <w:i/>
          <w:sz w:val="28"/>
          <w:szCs w:val="28"/>
          <w:lang w:val="kk-KZ"/>
        </w:rPr>
        <w:t>3. Еңбек нарығының көрсеткіштерін қалыптастыру әдіснамасына қатысты.</w:t>
      </w:r>
    </w:p>
    <w:p w:rsidR="00864C93" w:rsidRPr="0086592A" w:rsidRDefault="00864C93" w:rsidP="00864C93">
      <w:pPr>
        <w:ind w:firstLine="708"/>
        <w:jc w:val="both"/>
        <w:rPr>
          <w:rFonts w:eastAsia="Calibri"/>
          <w:sz w:val="28"/>
          <w:szCs w:val="28"/>
          <w:lang w:val="kk-KZ"/>
        </w:rPr>
      </w:pPr>
      <w:r w:rsidRPr="0086592A">
        <w:rPr>
          <w:rFonts w:eastAsia="Calibri"/>
          <w:sz w:val="28"/>
          <w:szCs w:val="28"/>
          <w:lang w:val="kk-KZ"/>
        </w:rPr>
        <w:t xml:space="preserve">Бюро еңбек нарығының көрсеткіштері жүйесін қалыптастыруды Халықаралық еңбек ұйымының (бұдан әрі – ХЕҰ) халықаралық стандарттары және Қазақстан Республикасының «Халықты жұмыспен қамту туралы» Заңы </w:t>
      </w:r>
      <w:r w:rsidR="00614177">
        <w:rPr>
          <w:rFonts w:eastAsia="Calibri"/>
          <w:sz w:val="28"/>
          <w:szCs w:val="28"/>
          <w:lang w:val="kk-KZ"/>
        </w:rPr>
        <w:br/>
      </w:r>
      <w:r w:rsidRPr="0086592A">
        <w:rPr>
          <w:rFonts w:eastAsia="Calibri"/>
          <w:sz w:val="28"/>
          <w:szCs w:val="28"/>
          <w:lang w:val="kk-KZ"/>
        </w:rPr>
        <w:t>(1-бап) негізінде жүзеге асырады. Көрсеткіштер жүйесі мен қалыптастыру әдістемесі халықаралық деңгейде салыстырмалы.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Еңбек нарығының негізгі көрсеткіштері, соның ішінде жұмыспен қамтылғандар саны туралы ақпараттың деректер көзі  халықты жұмыспен қамту бойынша үй шаруашылықтарына іріктемелі жүргізілетін зерттеуі болып табылады. Зерттеу Статистикалық жұмыс жоспарына сәйкес белгіленген мерзімде республиканың барлық өңірлерінде ай сайын жүргізіледі. </w:t>
      </w:r>
    </w:p>
    <w:p w:rsidR="00864C93" w:rsidRPr="0086592A" w:rsidRDefault="00864C93" w:rsidP="00864C93">
      <w:pPr>
        <w:autoSpaceDE w:val="0"/>
        <w:autoSpaceDN w:val="0"/>
        <w:adjustRightInd w:val="0"/>
        <w:ind w:firstLine="709"/>
        <w:jc w:val="both"/>
        <w:rPr>
          <w:rFonts w:eastAsia="Calibri"/>
          <w:sz w:val="28"/>
          <w:szCs w:val="28"/>
          <w:lang w:val="kk-KZ"/>
        </w:rPr>
      </w:pPr>
      <w:r w:rsidRPr="0086592A">
        <w:rPr>
          <w:rFonts w:eastAsia="Calibri"/>
          <w:sz w:val="28"/>
          <w:szCs w:val="28"/>
          <w:lang w:val="kk-KZ"/>
        </w:rPr>
        <w:t>Жұмыссыздарға:</w:t>
      </w:r>
    </w:p>
    <w:p w:rsidR="00864C93" w:rsidRPr="0086592A" w:rsidRDefault="00864C93" w:rsidP="00864C93">
      <w:pPr>
        <w:pStyle w:val="OsnTxt1"/>
        <w:widowControl w:val="0"/>
        <w:numPr>
          <w:ilvl w:val="0"/>
          <w:numId w:val="16"/>
        </w:numPr>
        <w:spacing w:after="0" w:line="240" w:lineRule="auto"/>
        <w:ind w:left="709" w:firstLine="0"/>
        <w:rPr>
          <w:rFonts w:ascii="Times New Roman" w:hAnsi="Times New Roman"/>
          <w:sz w:val="28"/>
          <w:szCs w:val="28"/>
          <w:lang w:val="kk-KZ"/>
        </w:rPr>
      </w:pPr>
      <w:r w:rsidRPr="0086592A">
        <w:rPr>
          <w:rFonts w:ascii="Times New Roman" w:hAnsi="Times New Roman"/>
          <w:sz w:val="28"/>
          <w:szCs w:val="28"/>
          <w:lang w:val="kk-KZ"/>
        </w:rPr>
        <w:t>жұмыссыз болған (яғни, табысты жұмысы болмаған);</w:t>
      </w:r>
    </w:p>
    <w:p w:rsidR="00864C93" w:rsidRPr="0086592A" w:rsidRDefault="00864C93" w:rsidP="00864C93">
      <w:pPr>
        <w:pStyle w:val="SpI"/>
        <w:widowControl w:val="0"/>
        <w:numPr>
          <w:ilvl w:val="0"/>
          <w:numId w:val="16"/>
        </w:numPr>
        <w:tabs>
          <w:tab w:val="clear" w:pos="1247"/>
          <w:tab w:val="left" w:pos="709"/>
        </w:tabs>
        <w:spacing w:line="240" w:lineRule="auto"/>
        <w:ind w:left="0" w:firstLine="709"/>
        <w:jc w:val="both"/>
        <w:rPr>
          <w:rFonts w:ascii="Times New Roman" w:hAnsi="Times New Roman"/>
          <w:sz w:val="28"/>
          <w:szCs w:val="28"/>
          <w:lang w:val="kk-KZ"/>
        </w:rPr>
      </w:pPr>
      <w:r w:rsidRPr="0086592A">
        <w:rPr>
          <w:rFonts w:ascii="Times New Roman" w:hAnsi="Times New Roman"/>
          <w:sz w:val="28"/>
          <w:szCs w:val="28"/>
          <w:lang w:val="kk-KZ"/>
        </w:rPr>
        <w:t xml:space="preserve">оны іздеумен белсенді айналысқан (яғни, жұмыспен қамту жөніндегі органдарға жүгінген, өз беттерінше баспасөздегі хабарландырулар, интернет жүйесі, жұмыс берушімен тікелей байланыс, жеке таныстары арқылы, яғни жұмыс табу бойынша іс-әрекет жасаған); </w:t>
      </w:r>
    </w:p>
    <w:p w:rsidR="00864C93" w:rsidRPr="0086592A" w:rsidRDefault="00864C93" w:rsidP="00864C93">
      <w:pPr>
        <w:numPr>
          <w:ilvl w:val="0"/>
          <w:numId w:val="16"/>
        </w:numPr>
        <w:ind w:left="0" w:firstLine="709"/>
        <w:jc w:val="both"/>
        <w:rPr>
          <w:sz w:val="28"/>
          <w:szCs w:val="28"/>
          <w:lang w:val="kk-KZ"/>
        </w:rPr>
      </w:pPr>
      <w:r w:rsidRPr="0086592A">
        <w:rPr>
          <w:sz w:val="28"/>
          <w:szCs w:val="28"/>
          <w:lang w:val="kk-KZ"/>
        </w:rPr>
        <w:t>бір апта ішінде жұмысқа кірісуге дайын болған деген үш негізгі критерийлерге бір мезгілде жауап берген 15 жастан үлкен жастағы адамдар жатады.</w:t>
      </w:r>
    </w:p>
    <w:p w:rsidR="00864C93" w:rsidRPr="0086592A" w:rsidRDefault="00864C93" w:rsidP="00864C93">
      <w:pPr>
        <w:autoSpaceDE w:val="0"/>
        <w:autoSpaceDN w:val="0"/>
        <w:adjustRightInd w:val="0"/>
        <w:ind w:firstLine="709"/>
        <w:jc w:val="both"/>
        <w:rPr>
          <w:sz w:val="28"/>
          <w:szCs w:val="28"/>
          <w:lang w:val="kk-KZ"/>
        </w:rPr>
      </w:pPr>
      <w:r w:rsidRPr="0086592A">
        <w:rPr>
          <w:sz w:val="28"/>
          <w:szCs w:val="28"/>
          <w:lang w:val="kk-KZ"/>
        </w:rPr>
        <w:t>Яғни, жұмыссыздарға бір апта ішінде бір сағатта жұмыс істемеген, жұмыс іздеу үстіндегі және жұмысқа кірісуге дайын адамдар жатқызылады.</w:t>
      </w:r>
    </w:p>
    <w:p w:rsidR="00864C93" w:rsidRPr="0086592A" w:rsidRDefault="00864C93" w:rsidP="00864C93">
      <w:pPr>
        <w:pStyle w:val="OsnTxt"/>
        <w:spacing w:line="280" w:lineRule="atLeast"/>
        <w:rPr>
          <w:rFonts w:ascii="Times New Roman" w:hAnsi="Times New Roman"/>
          <w:sz w:val="28"/>
          <w:szCs w:val="28"/>
          <w:lang w:val="kk-KZ"/>
        </w:rPr>
      </w:pPr>
      <w:r w:rsidRPr="0086592A">
        <w:rPr>
          <w:rFonts w:ascii="Times New Roman" w:hAnsi="Times New Roman"/>
          <w:sz w:val="28"/>
          <w:szCs w:val="28"/>
          <w:lang w:val="kk-KZ"/>
        </w:rPr>
        <w:t>Осыған орай, жалпы жұмыссыздар саны тек тіркелген жұмыссыздарды ғана емес, өз бетінше жұмыс іздеуші жұмыссыздарды да қамтиды.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Жұмыссыздық деңгейі жұмыс күшіндегі жұмыссыздардың үлесі ретінде есептеледі, пайызбен өлшенеді. Жастар арасындағы жұмыссыздық деңгейі де осындай жолмен есептеледі. Жұмыспен қамтылған және жұмыссыздардың </w:t>
      </w:r>
      <w:r w:rsidRPr="0086592A">
        <w:rPr>
          <w:rFonts w:eastAsia="Calibri"/>
          <w:sz w:val="28"/>
          <w:szCs w:val="28"/>
          <w:lang w:val="kk-KZ"/>
        </w:rPr>
        <w:lastRenderedPageBreak/>
        <w:t>қосындысы жұмыс күші болып табылады. Қазақстан Республикасы Еңбек және халықты әлеуметтік қорғау министрлігінің жұмыспен қамту органдарында</w:t>
      </w:r>
      <w:r w:rsidR="003D31A3">
        <w:rPr>
          <w:rFonts w:eastAsia="Calibri"/>
          <w:sz w:val="28"/>
          <w:szCs w:val="28"/>
          <w:lang w:val="kk-KZ"/>
        </w:rPr>
        <w:br/>
      </w:r>
      <w:r w:rsidRPr="0086592A">
        <w:rPr>
          <w:rFonts w:eastAsia="Calibri"/>
          <w:sz w:val="28"/>
          <w:szCs w:val="28"/>
          <w:lang w:val="kk-KZ"/>
        </w:rPr>
        <w:t>2022 жылғы желтоқсан айының соңына 132,3 мың жұмыссыз ресми тіркелгенге назар аударамыз. Тіркелген жұмыссыздардың үлесі жұмыс күшінің 1,4%-ын құрады.</w:t>
      </w:r>
    </w:p>
    <w:p w:rsidR="00470FD8" w:rsidRPr="0086592A" w:rsidRDefault="00470FD8" w:rsidP="00470FD8">
      <w:pPr>
        <w:ind w:firstLine="708"/>
        <w:jc w:val="both"/>
        <w:rPr>
          <w:rStyle w:val="rynqvb"/>
          <w:sz w:val="28"/>
          <w:szCs w:val="28"/>
          <w:lang w:val="kk-KZ"/>
        </w:rPr>
      </w:pPr>
      <w:r w:rsidRPr="0086592A">
        <w:rPr>
          <w:rStyle w:val="rynqvb"/>
          <w:sz w:val="28"/>
          <w:szCs w:val="28"/>
          <w:lang w:val="kk-KZ"/>
        </w:rPr>
        <w:t>Еңбек нарығындағы нақты жағдайды және стандартты жұмыссыздық деңгейінің шектеулі шектерін есепке ала, Бюро ХЕҰ-ның әдістемелік ұсыныстарына сүйене отырып, жұмыссыздыққа қосымша бағалау есептерін жүргізеді. Олар жұмыс уақытының ұзақтығы бойынша толық емес жұмыспен қамтылу мәселесін, әлеуетті жұмыс күшін, яғни</w:t>
      </w:r>
      <w:r w:rsidRPr="0086592A">
        <w:rPr>
          <w:sz w:val="28"/>
          <w:szCs w:val="28"/>
          <w:lang w:val="kk-KZ"/>
        </w:rPr>
        <w:t xml:space="preserve"> </w:t>
      </w:r>
      <w:r w:rsidRPr="0086592A">
        <w:rPr>
          <w:rStyle w:val="rynqvb"/>
          <w:sz w:val="28"/>
          <w:szCs w:val="28"/>
          <w:lang w:val="kk-KZ"/>
        </w:rPr>
        <w:t xml:space="preserve">ХЕҰ үш критерийінің екеуіне ғана сәйкес келетін адамдардың жағдайын есепке алады. </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 xml:space="preserve">Жұмыссыздықтың төмен деңгейі адамдардың жұмыссыз қалуға мүмкіндігі жоқ екенін </w:t>
      </w:r>
      <w:r w:rsidR="00C471A0">
        <w:rPr>
          <w:rFonts w:eastAsia="Calibri"/>
          <w:sz w:val="28"/>
          <w:szCs w:val="28"/>
          <w:lang w:val="kk-KZ"/>
        </w:rPr>
        <w:t>ескеру қажет</w:t>
      </w:r>
      <w:r w:rsidRPr="0086592A">
        <w:rPr>
          <w:rFonts w:eastAsia="Calibri"/>
          <w:sz w:val="28"/>
          <w:szCs w:val="28"/>
          <w:lang w:val="kk-KZ"/>
        </w:rPr>
        <w:t xml:space="preserve">. Олар кез келген жағдайда – бейресми экономикада немесе ресми экономикада бейресми жағдайда немесе экономиканың табысы төмен салаларында, жеке қосалқы шаруашылықтарда жұмыс істеу арқылы күн көруі керек. </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Осылайша 2022 жыл</w:t>
      </w:r>
      <w:r w:rsidR="00C471A0">
        <w:rPr>
          <w:rFonts w:eastAsia="Calibri"/>
          <w:sz w:val="28"/>
          <w:szCs w:val="28"/>
          <w:lang w:val="kk-KZ"/>
        </w:rPr>
        <w:t>дың</w:t>
      </w:r>
      <w:r w:rsidRPr="0086592A">
        <w:rPr>
          <w:rFonts w:eastAsia="Calibri"/>
          <w:sz w:val="28"/>
          <w:szCs w:val="28"/>
          <w:lang w:val="kk-KZ"/>
        </w:rPr>
        <w:t xml:space="preserve"> қорытындысы бойынша Қазақстан Республикасы бойынша бейресми жұмыспен қамтылғандар саны 1151,1 мың адамды құрады.</w:t>
      </w:r>
    </w:p>
    <w:p w:rsidR="00864C93" w:rsidRPr="0086592A" w:rsidRDefault="00864C93" w:rsidP="00864C93">
      <w:pPr>
        <w:ind w:firstLine="708"/>
        <w:jc w:val="both"/>
        <w:rPr>
          <w:rFonts w:eastAsia="Calibri"/>
          <w:b/>
          <w:sz w:val="28"/>
          <w:szCs w:val="28"/>
          <w:lang w:val="kk-KZ"/>
        </w:rPr>
      </w:pPr>
      <w:r w:rsidRPr="0086592A">
        <w:rPr>
          <w:rFonts w:eastAsia="Calibri"/>
          <w:b/>
          <w:sz w:val="28"/>
          <w:szCs w:val="28"/>
          <w:lang w:val="kk-KZ"/>
        </w:rPr>
        <w:t xml:space="preserve">NEET көрсеткішін қалыптастыру мәселесі бойынша. </w:t>
      </w:r>
    </w:p>
    <w:p w:rsidR="00864C93" w:rsidRPr="0086592A" w:rsidRDefault="00864C93" w:rsidP="00864C93">
      <w:pPr>
        <w:ind w:firstLine="720"/>
        <w:jc w:val="both"/>
        <w:rPr>
          <w:rFonts w:eastAsia="Calibri"/>
          <w:sz w:val="28"/>
          <w:szCs w:val="28"/>
          <w:lang w:val="kk-KZ"/>
        </w:rPr>
      </w:pPr>
      <w:r w:rsidRPr="0086592A">
        <w:rPr>
          <w:rFonts w:eastAsia="Calibri"/>
          <w:sz w:val="28"/>
          <w:szCs w:val="28"/>
          <w:lang w:val="kk-KZ"/>
        </w:rPr>
        <w:t>ХЕҰ анықтамасы бойынша NEET жастары – бұл білім беру жүйесінде немесе жұмыспен қамтылу жүйесінен тыс жүрген, жұмыс істемейтін, білім алумен немесе кәсіби даярлықпен айналыспайтын жастардың бөлігі және жастардың еңбек нарығының ықтимал көзі болып табылады. 2022 жыл бойынша NEET жастары саны 215,8 мың адам, NEET жастарының үлесі – 6,5%.</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Өзін-өзі жұмыспен қамтығандар – тауарларды, жұмыстарды, қызметтерді өндірумен (өткізумен) еңбек шартынсыз жеке дара айналысатын адамдар екенін атап өтеміз. Бұл топтағылар жұмыспен қамтылғандар қатарында болғандықтан, NEET жастарының санатына кірмейді. 2022 жыл бойынша өзін-өзі жұмыспен қамтыған жастар саны 408 мың адамды құрады.</w:t>
      </w:r>
    </w:p>
    <w:p w:rsidR="00864C93" w:rsidRPr="0086592A" w:rsidRDefault="00864C93" w:rsidP="00864C93">
      <w:pPr>
        <w:ind w:firstLine="709"/>
        <w:jc w:val="both"/>
        <w:rPr>
          <w:rFonts w:eastAsia="Calibri"/>
          <w:sz w:val="28"/>
          <w:szCs w:val="28"/>
          <w:lang w:val="kk-KZ"/>
        </w:rPr>
      </w:pPr>
      <w:r w:rsidRPr="0086592A">
        <w:rPr>
          <w:rFonts w:eastAsia="Calibri"/>
          <w:sz w:val="28"/>
          <w:szCs w:val="28"/>
          <w:lang w:val="kk-KZ"/>
        </w:rPr>
        <w:t>Бюро 2023 жылдың 1 тоқсанынан бастап</w:t>
      </w:r>
      <w:r w:rsidRPr="0086592A">
        <w:rPr>
          <w:sz w:val="28"/>
          <w:szCs w:val="28"/>
          <w:lang w:val="kk-KZ"/>
        </w:rPr>
        <w:t xml:space="preserve"> «</w:t>
      </w:r>
      <w:r w:rsidR="00127509" w:rsidRPr="0086592A">
        <w:rPr>
          <w:sz w:val="28"/>
          <w:szCs w:val="28"/>
          <w:lang w:val="kk-KZ"/>
        </w:rPr>
        <w:t>Мемлекеттік</w:t>
      </w:r>
      <w:r w:rsidR="003D31A3">
        <w:rPr>
          <w:sz w:val="28"/>
          <w:szCs w:val="28"/>
          <w:lang w:val="kk-KZ"/>
        </w:rPr>
        <w:t xml:space="preserve"> жастар саясаты  туралы»</w:t>
      </w:r>
      <w:r w:rsidRPr="0086592A">
        <w:rPr>
          <w:sz w:val="28"/>
          <w:szCs w:val="28"/>
          <w:lang w:val="kk-KZ"/>
        </w:rPr>
        <w:t xml:space="preserve"> ҚР Заңына сәйкес </w:t>
      </w:r>
      <w:r w:rsidRPr="0086592A">
        <w:rPr>
          <w:rFonts w:eastAsia="Calibri"/>
          <w:sz w:val="28"/>
          <w:szCs w:val="28"/>
          <w:lang w:val="kk-KZ"/>
        </w:rPr>
        <w:t xml:space="preserve">15-34 жас аралығындағы жастар бойынша </w:t>
      </w:r>
      <w:r w:rsidR="00C471A0">
        <w:rPr>
          <w:rFonts w:eastAsia="Calibri"/>
          <w:sz w:val="28"/>
          <w:szCs w:val="28"/>
          <w:lang w:val="kk-KZ"/>
        </w:rPr>
        <w:t xml:space="preserve">ақпаратты </w:t>
      </w:r>
      <w:r w:rsidRPr="0086592A">
        <w:rPr>
          <w:rFonts w:eastAsia="Calibri"/>
          <w:sz w:val="28"/>
          <w:szCs w:val="28"/>
          <w:lang w:val="kk-KZ"/>
        </w:rPr>
        <w:t>қалыптастырады және жариялайды.</w:t>
      </w:r>
    </w:p>
    <w:p w:rsidR="00864C93" w:rsidRPr="0086592A" w:rsidRDefault="00864C93" w:rsidP="00864C93">
      <w:pPr>
        <w:spacing w:line="264" w:lineRule="auto"/>
        <w:ind w:left="709" w:right="142"/>
        <w:jc w:val="both"/>
        <w:rPr>
          <w:b/>
          <w:sz w:val="28"/>
          <w:szCs w:val="28"/>
          <w:lang w:val="kk-KZ"/>
        </w:rPr>
      </w:pPr>
    </w:p>
    <w:p w:rsidR="00864C93" w:rsidRPr="0086592A" w:rsidRDefault="00864C93" w:rsidP="00864C93">
      <w:pPr>
        <w:spacing w:line="264" w:lineRule="auto"/>
        <w:ind w:left="709" w:right="142"/>
        <w:jc w:val="both"/>
        <w:rPr>
          <w:b/>
          <w:sz w:val="28"/>
          <w:szCs w:val="28"/>
          <w:lang w:val="kk-KZ"/>
        </w:rPr>
      </w:pPr>
    </w:p>
    <w:p w:rsidR="00864C93" w:rsidRPr="0086592A" w:rsidRDefault="00864C93" w:rsidP="00864C93">
      <w:pPr>
        <w:spacing w:line="264" w:lineRule="auto"/>
        <w:ind w:left="709" w:right="142"/>
        <w:jc w:val="both"/>
        <w:rPr>
          <w:b/>
          <w:sz w:val="28"/>
          <w:szCs w:val="28"/>
          <w:lang w:val="kk-KZ"/>
        </w:rPr>
      </w:pPr>
      <w:r w:rsidRPr="0086592A">
        <w:rPr>
          <w:b/>
          <w:sz w:val="28"/>
          <w:szCs w:val="28"/>
          <w:lang w:val="kk-KZ"/>
        </w:rPr>
        <w:t>Қазақстан Республикасы</w:t>
      </w:r>
    </w:p>
    <w:p w:rsidR="00864C93" w:rsidRPr="0086592A" w:rsidRDefault="00864C93" w:rsidP="00864C93">
      <w:pPr>
        <w:spacing w:line="264" w:lineRule="auto"/>
        <w:ind w:left="709" w:right="142"/>
        <w:jc w:val="both"/>
        <w:rPr>
          <w:b/>
          <w:sz w:val="28"/>
          <w:szCs w:val="28"/>
          <w:lang w:val="kk-KZ"/>
        </w:rPr>
      </w:pPr>
      <w:r w:rsidRPr="0086592A">
        <w:rPr>
          <w:b/>
          <w:sz w:val="28"/>
          <w:szCs w:val="28"/>
          <w:lang w:val="kk-KZ"/>
        </w:rPr>
        <w:t>Стратегиялық жоспарлау және</w:t>
      </w:r>
    </w:p>
    <w:p w:rsidR="00864C93" w:rsidRPr="0086592A" w:rsidRDefault="00864C93" w:rsidP="00864C93">
      <w:pPr>
        <w:spacing w:line="264" w:lineRule="auto"/>
        <w:ind w:left="709" w:right="142"/>
        <w:jc w:val="both"/>
        <w:rPr>
          <w:b/>
          <w:sz w:val="28"/>
          <w:szCs w:val="28"/>
          <w:lang w:val="kk-KZ"/>
        </w:rPr>
      </w:pPr>
      <w:r w:rsidRPr="0086592A">
        <w:rPr>
          <w:b/>
          <w:sz w:val="28"/>
          <w:szCs w:val="28"/>
          <w:lang w:val="kk-KZ"/>
        </w:rPr>
        <w:t>реформалар агенттігінің төрағасы</w:t>
      </w:r>
      <w:r w:rsidRPr="0086592A">
        <w:rPr>
          <w:b/>
          <w:sz w:val="28"/>
          <w:szCs w:val="28"/>
          <w:lang w:val="kk-KZ"/>
        </w:rPr>
        <w:tab/>
      </w:r>
      <w:r w:rsidRPr="0086592A">
        <w:rPr>
          <w:b/>
          <w:sz w:val="28"/>
          <w:szCs w:val="28"/>
          <w:lang w:val="kk-KZ"/>
        </w:rPr>
        <w:tab/>
      </w:r>
      <w:r w:rsidRPr="0086592A">
        <w:rPr>
          <w:b/>
          <w:sz w:val="28"/>
          <w:szCs w:val="28"/>
          <w:lang w:val="kk-KZ"/>
        </w:rPr>
        <w:tab/>
      </w:r>
      <w:r w:rsidRPr="0086592A">
        <w:rPr>
          <w:b/>
          <w:sz w:val="28"/>
          <w:szCs w:val="28"/>
          <w:lang w:val="kk-KZ"/>
        </w:rPr>
        <w:tab/>
        <w:t>Ә. Ерғалиев</w:t>
      </w:r>
    </w:p>
    <w:p w:rsidR="00864C93" w:rsidRPr="0086592A" w:rsidRDefault="00864C93" w:rsidP="00864C93">
      <w:pPr>
        <w:rPr>
          <w:sz w:val="28"/>
          <w:szCs w:val="28"/>
          <w:lang w:val="kk-KZ"/>
        </w:rPr>
      </w:pPr>
    </w:p>
    <w:p w:rsidR="00864C93" w:rsidRPr="0086592A" w:rsidRDefault="00864C93" w:rsidP="00864C93">
      <w:pPr>
        <w:rPr>
          <w:sz w:val="28"/>
          <w:szCs w:val="28"/>
          <w:lang w:val="kk-KZ"/>
        </w:rPr>
      </w:pPr>
    </w:p>
    <w:p w:rsidR="00A63A23" w:rsidRPr="0086592A" w:rsidRDefault="00A63A23" w:rsidP="00864C93">
      <w:pPr>
        <w:rPr>
          <w:sz w:val="28"/>
          <w:szCs w:val="28"/>
          <w:lang w:val="kk-KZ"/>
        </w:rPr>
      </w:pPr>
    </w:p>
    <w:p w:rsidR="00864C93" w:rsidRPr="0086592A" w:rsidRDefault="00864C93" w:rsidP="00864C93">
      <w:pPr>
        <w:rPr>
          <w:sz w:val="28"/>
          <w:szCs w:val="28"/>
          <w:lang w:val="kk-KZ"/>
        </w:rPr>
      </w:pPr>
    </w:p>
    <w:p w:rsidR="00864C93" w:rsidRPr="0086592A" w:rsidRDefault="00864C93" w:rsidP="00864C93">
      <w:pPr>
        <w:rPr>
          <w:lang w:val="kk-KZ"/>
        </w:rPr>
      </w:pPr>
      <w:r w:rsidRPr="0086592A">
        <w:rPr>
          <w:lang w:val="kk-KZ"/>
        </w:rPr>
        <w:t>Орынд. Көбегенова Д., Бекишева Г.</w:t>
      </w:r>
    </w:p>
    <w:p w:rsidR="00864C93" w:rsidRPr="0086592A" w:rsidRDefault="00864C93" w:rsidP="00864C93">
      <w:pPr>
        <w:rPr>
          <w:lang w:val="kk-KZ"/>
        </w:rPr>
      </w:pPr>
      <w:r w:rsidRPr="0086592A">
        <w:rPr>
          <w:lang w:val="kk-KZ"/>
        </w:rPr>
        <w:t>Тел. 74-97-76, 74-95-04</w:t>
      </w:r>
    </w:p>
    <w:p w:rsidR="00864C93" w:rsidRPr="0086592A" w:rsidRDefault="00864C93" w:rsidP="007864B2">
      <w:pPr>
        <w:rPr>
          <w:color w:val="548DD4" w:themeColor="text2" w:themeTint="99"/>
          <w:sz w:val="28"/>
          <w:szCs w:val="28"/>
          <w:lang w:val="kk-KZ"/>
        </w:rPr>
      </w:pPr>
    </w:p>
    <w:sectPr w:rsidR="00864C93" w:rsidRPr="0086592A" w:rsidSect="00614177">
      <w:headerReference w:type="default" r:id="rId11"/>
      <w:pgSz w:w="11906" w:h="16838"/>
      <w:pgMar w:top="567" w:right="851" w:bottom="567" w:left="1134" w:header="709" w:footer="6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99" w:rsidRDefault="00B75099" w:rsidP="00B85B9D">
      <w:r>
        <w:separator/>
      </w:r>
    </w:p>
  </w:endnote>
  <w:endnote w:type="continuationSeparator" w:id="1">
    <w:p w:rsidR="00B75099" w:rsidRDefault="00B75099" w:rsidP="00B85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99" w:rsidRDefault="00B75099" w:rsidP="00B85B9D">
      <w:r>
        <w:separator/>
      </w:r>
    </w:p>
  </w:footnote>
  <w:footnote w:type="continuationSeparator" w:id="1">
    <w:p w:rsidR="00B75099" w:rsidRDefault="00B75099" w:rsidP="00B8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063"/>
      <w:docPartObj>
        <w:docPartGallery w:val="Page Numbers (Top of Page)"/>
        <w:docPartUnique/>
      </w:docPartObj>
    </w:sdtPr>
    <w:sdtContent>
      <w:p w:rsidR="007D6986" w:rsidRDefault="00A61D20">
        <w:pPr>
          <w:pStyle w:val="af2"/>
          <w:jc w:val="center"/>
        </w:pPr>
        <w:fldSimple w:instr=" PAGE   \* MERGEFORMAT ">
          <w:r w:rsidR="006A37D3">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E49F5"/>
    <w:multiLevelType w:val="hybridMultilevel"/>
    <w:tmpl w:val="2558060C"/>
    <w:lvl w:ilvl="0" w:tplc="D988B41C">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8">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8A1E3C"/>
    <w:multiLevelType w:val="hybridMultilevel"/>
    <w:tmpl w:val="9B8A794E"/>
    <w:lvl w:ilvl="0" w:tplc="DBC833EE">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1"/>
  </w:num>
  <w:num w:numId="4">
    <w:abstractNumId w:val="3"/>
  </w:num>
  <w:num w:numId="5">
    <w:abstractNumId w:val="7"/>
  </w:num>
  <w:num w:numId="6">
    <w:abstractNumId w:val="10"/>
  </w:num>
  <w:num w:numId="7">
    <w:abstractNumId w:val="6"/>
  </w:num>
  <w:num w:numId="8">
    <w:abstractNumId w:val="12"/>
  </w:num>
  <w:num w:numId="9">
    <w:abstractNumId w:val="0"/>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hdrShapeDefaults>
    <o:shapedefaults v:ext="edit" spidmax="28674"/>
  </w:hdrShapeDefaults>
  <w:footnotePr>
    <w:footnote w:id="0"/>
    <w:footnote w:id="1"/>
  </w:footnotePr>
  <w:endnotePr>
    <w:endnote w:id="0"/>
    <w:endnote w:id="1"/>
  </w:endnotePr>
  <w:compat/>
  <w:rsids>
    <w:rsidRoot w:val="001B4C68"/>
    <w:rsid w:val="00010E7E"/>
    <w:rsid w:val="00021AEC"/>
    <w:rsid w:val="00021D7D"/>
    <w:rsid w:val="00022749"/>
    <w:rsid w:val="00024D9A"/>
    <w:rsid w:val="00041E1A"/>
    <w:rsid w:val="00042B53"/>
    <w:rsid w:val="00047342"/>
    <w:rsid w:val="00052819"/>
    <w:rsid w:val="00057217"/>
    <w:rsid w:val="0006125F"/>
    <w:rsid w:val="00074CA4"/>
    <w:rsid w:val="00085DCF"/>
    <w:rsid w:val="0009771F"/>
    <w:rsid w:val="000A32CD"/>
    <w:rsid w:val="000B2046"/>
    <w:rsid w:val="000B2682"/>
    <w:rsid w:val="000C3EA7"/>
    <w:rsid w:val="000C497F"/>
    <w:rsid w:val="000D0526"/>
    <w:rsid w:val="000E75C1"/>
    <w:rsid w:val="000F0C0F"/>
    <w:rsid w:val="000F4B47"/>
    <w:rsid w:val="001015C3"/>
    <w:rsid w:val="00106431"/>
    <w:rsid w:val="001104E8"/>
    <w:rsid w:val="00116661"/>
    <w:rsid w:val="00127509"/>
    <w:rsid w:val="00142609"/>
    <w:rsid w:val="0015788C"/>
    <w:rsid w:val="00174D38"/>
    <w:rsid w:val="001777B4"/>
    <w:rsid w:val="00190449"/>
    <w:rsid w:val="00192A89"/>
    <w:rsid w:val="00193647"/>
    <w:rsid w:val="001A07F6"/>
    <w:rsid w:val="001B4A2F"/>
    <w:rsid w:val="001B4C68"/>
    <w:rsid w:val="001B50AF"/>
    <w:rsid w:val="001C4C49"/>
    <w:rsid w:val="001D2C17"/>
    <w:rsid w:val="001E5796"/>
    <w:rsid w:val="001F692D"/>
    <w:rsid w:val="002020B2"/>
    <w:rsid w:val="002311CB"/>
    <w:rsid w:val="00233EFB"/>
    <w:rsid w:val="0025205E"/>
    <w:rsid w:val="0025627A"/>
    <w:rsid w:val="002668C8"/>
    <w:rsid w:val="00271A93"/>
    <w:rsid w:val="00272A73"/>
    <w:rsid w:val="00274FFC"/>
    <w:rsid w:val="0027563C"/>
    <w:rsid w:val="00276241"/>
    <w:rsid w:val="00283488"/>
    <w:rsid w:val="002877DC"/>
    <w:rsid w:val="00292354"/>
    <w:rsid w:val="002A4EDD"/>
    <w:rsid w:val="002A5941"/>
    <w:rsid w:val="002B2243"/>
    <w:rsid w:val="002B381F"/>
    <w:rsid w:val="002B3EA0"/>
    <w:rsid w:val="002C24C7"/>
    <w:rsid w:val="002C5667"/>
    <w:rsid w:val="002C79B8"/>
    <w:rsid w:val="002C7E29"/>
    <w:rsid w:val="002E28E3"/>
    <w:rsid w:val="002F4A92"/>
    <w:rsid w:val="00306CAD"/>
    <w:rsid w:val="00307A69"/>
    <w:rsid w:val="00310AED"/>
    <w:rsid w:val="00317FD2"/>
    <w:rsid w:val="00343EFB"/>
    <w:rsid w:val="00344326"/>
    <w:rsid w:val="00345529"/>
    <w:rsid w:val="003532F3"/>
    <w:rsid w:val="00362E01"/>
    <w:rsid w:val="003635A3"/>
    <w:rsid w:val="003753C0"/>
    <w:rsid w:val="00383BD8"/>
    <w:rsid w:val="00396261"/>
    <w:rsid w:val="003A1FB4"/>
    <w:rsid w:val="003A3D87"/>
    <w:rsid w:val="003B18AC"/>
    <w:rsid w:val="003B6405"/>
    <w:rsid w:val="003C440E"/>
    <w:rsid w:val="003D0115"/>
    <w:rsid w:val="003D0BC1"/>
    <w:rsid w:val="003D31A3"/>
    <w:rsid w:val="003E24C3"/>
    <w:rsid w:val="003E5ECC"/>
    <w:rsid w:val="003F1138"/>
    <w:rsid w:val="003F2F92"/>
    <w:rsid w:val="00400E73"/>
    <w:rsid w:val="00407D14"/>
    <w:rsid w:val="004133BF"/>
    <w:rsid w:val="0042310A"/>
    <w:rsid w:val="0043358D"/>
    <w:rsid w:val="00433C4C"/>
    <w:rsid w:val="0043479D"/>
    <w:rsid w:val="00434AC8"/>
    <w:rsid w:val="00435ACF"/>
    <w:rsid w:val="004372F1"/>
    <w:rsid w:val="00442AA7"/>
    <w:rsid w:val="0044658C"/>
    <w:rsid w:val="004476DF"/>
    <w:rsid w:val="00461F88"/>
    <w:rsid w:val="004627A8"/>
    <w:rsid w:val="00465001"/>
    <w:rsid w:val="00470FD8"/>
    <w:rsid w:val="004805FE"/>
    <w:rsid w:val="0048235A"/>
    <w:rsid w:val="00484B71"/>
    <w:rsid w:val="0048671F"/>
    <w:rsid w:val="00487A6D"/>
    <w:rsid w:val="004977BC"/>
    <w:rsid w:val="004A2427"/>
    <w:rsid w:val="004A6EC5"/>
    <w:rsid w:val="004C5862"/>
    <w:rsid w:val="004C5AD0"/>
    <w:rsid w:val="004D52E9"/>
    <w:rsid w:val="004D5363"/>
    <w:rsid w:val="004F1006"/>
    <w:rsid w:val="004F242D"/>
    <w:rsid w:val="004F43FA"/>
    <w:rsid w:val="00500B89"/>
    <w:rsid w:val="005026F5"/>
    <w:rsid w:val="00511EC8"/>
    <w:rsid w:val="005278AA"/>
    <w:rsid w:val="00531CB4"/>
    <w:rsid w:val="005324C0"/>
    <w:rsid w:val="0053649F"/>
    <w:rsid w:val="00536FBE"/>
    <w:rsid w:val="005440FA"/>
    <w:rsid w:val="005508B5"/>
    <w:rsid w:val="0055776D"/>
    <w:rsid w:val="005616B6"/>
    <w:rsid w:val="00581C07"/>
    <w:rsid w:val="00587A87"/>
    <w:rsid w:val="005B1CEA"/>
    <w:rsid w:val="005F780B"/>
    <w:rsid w:val="00602FF3"/>
    <w:rsid w:val="00612AF1"/>
    <w:rsid w:val="00612F4A"/>
    <w:rsid w:val="00614177"/>
    <w:rsid w:val="00617B9E"/>
    <w:rsid w:val="006237BC"/>
    <w:rsid w:val="00632F6D"/>
    <w:rsid w:val="00634C08"/>
    <w:rsid w:val="006510DC"/>
    <w:rsid w:val="00666A2C"/>
    <w:rsid w:val="00666E97"/>
    <w:rsid w:val="006676A2"/>
    <w:rsid w:val="006751CA"/>
    <w:rsid w:val="0067601F"/>
    <w:rsid w:val="00692673"/>
    <w:rsid w:val="00692777"/>
    <w:rsid w:val="00693FA7"/>
    <w:rsid w:val="006A37D3"/>
    <w:rsid w:val="006A5D52"/>
    <w:rsid w:val="006A6FFB"/>
    <w:rsid w:val="006C0F24"/>
    <w:rsid w:val="006C3FFB"/>
    <w:rsid w:val="006D21E5"/>
    <w:rsid w:val="006E6A2D"/>
    <w:rsid w:val="006E6F35"/>
    <w:rsid w:val="006F5C1B"/>
    <w:rsid w:val="0070072E"/>
    <w:rsid w:val="007040DD"/>
    <w:rsid w:val="00707695"/>
    <w:rsid w:val="0071249A"/>
    <w:rsid w:val="00713A5D"/>
    <w:rsid w:val="007146CE"/>
    <w:rsid w:val="007171C1"/>
    <w:rsid w:val="00720A41"/>
    <w:rsid w:val="007230A1"/>
    <w:rsid w:val="00723B08"/>
    <w:rsid w:val="00725FC0"/>
    <w:rsid w:val="00726CA4"/>
    <w:rsid w:val="00745815"/>
    <w:rsid w:val="00750BE8"/>
    <w:rsid w:val="00764B52"/>
    <w:rsid w:val="00765DE5"/>
    <w:rsid w:val="00782C0C"/>
    <w:rsid w:val="00783722"/>
    <w:rsid w:val="00784CC3"/>
    <w:rsid w:val="007864B2"/>
    <w:rsid w:val="00791255"/>
    <w:rsid w:val="007A5EB9"/>
    <w:rsid w:val="007B6D38"/>
    <w:rsid w:val="007B7B2D"/>
    <w:rsid w:val="007C5B4D"/>
    <w:rsid w:val="007C6496"/>
    <w:rsid w:val="007D3B82"/>
    <w:rsid w:val="007D6986"/>
    <w:rsid w:val="007F3CFF"/>
    <w:rsid w:val="007F754C"/>
    <w:rsid w:val="008003F1"/>
    <w:rsid w:val="00801EE5"/>
    <w:rsid w:val="0080640C"/>
    <w:rsid w:val="008075F3"/>
    <w:rsid w:val="00822B2C"/>
    <w:rsid w:val="00830348"/>
    <w:rsid w:val="00831536"/>
    <w:rsid w:val="008359AB"/>
    <w:rsid w:val="008366EF"/>
    <w:rsid w:val="0084187F"/>
    <w:rsid w:val="00861E3B"/>
    <w:rsid w:val="00864C93"/>
    <w:rsid w:val="008651D0"/>
    <w:rsid w:val="0086592A"/>
    <w:rsid w:val="00870847"/>
    <w:rsid w:val="00872C7A"/>
    <w:rsid w:val="008819EC"/>
    <w:rsid w:val="00883C48"/>
    <w:rsid w:val="008A168A"/>
    <w:rsid w:val="008A39CD"/>
    <w:rsid w:val="008D3D79"/>
    <w:rsid w:val="008D3EBB"/>
    <w:rsid w:val="008E76E5"/>
    <w:rsid w:val="008F5E3C"/>
    <w:rsid w:val="00905D93"/>
    <w:rsid w:val="0090609E"/>
    <w:rsid w:val="009226A5"/>
    <w:rsid w:val="00927AD2"/>
    <w:rsid w:val="00931EEA"/>
    <w:rsid w:val="00946763"/>
    <w:rsid w:val="00960F62"/>
    <w:rsid w:val="00963333"/>
    <w:rsid w:val="00963866"/>
    <w:rsid w:val="0096570C"/>
    <w:rsid w:val="009759FD"/>
    <w:rsid w:val="0097621A"/>
    <w:rsid w:val="00976558"/>
    <w:rsid w:val="00994630"/>
    <w:rsid w:val="00997533"/>
    <w:rsid w:val="009A406F"/>
    <w:rsid w:val="009B3085"/>
    <w:rsid w:val="009C0AB1"/>
    <w:rsid w:val="009C29E4"/>
    <w:rsid w:val="009C315F"/>
    <w:rsid w:val="009C560C"/>
    <w:rsid w:val="009C5BFE"/>
    <w:rsid w:val="009D53DB"/>
    <w:rsid w:val="009E02E9"/>
    <w:rsid w:val="009E56BC"/>
    <w:rsid w:val="009F57F0"/>
    <w:rsid w:val="009F7396"/>
    <w:rsid w:val="00A00994"/>
    <w:rsid w:val="00A03DAB"/>
    <w:rsid w:val="00A048EF"/>
    <w:rsid w:val="00A04A6D"/>
    <w:rsid w:val="00A04ECB"/>
    <w:rsid w:val="00A3627B"/>
    <w:rsid w:val="00A45B31"/>
    <w:rsid w:val="00A532E9"/>
    <w:rsid w:val="00A57F69"/>
    <w:rsid w:val="00A6073B"/>
    <w:rsid w:val="00A61D20"/>
    <w:rsid w:val="00A63A23"/>
    <w:rsid w:val="00A70518"/>
    <w:rsid w:val="00A7234C"/>
    <w:rsid w:val="00A84653"/>
    <w:rsid w:val="00AA045F"/>
    <w:rsid w:val="00AA2789"/>
    <w:rsid w:val="00AA65E4"/>
    <w:rsid w:val="00AC20F2"/>
    <w:rsid w:val="00AC3BA6"/>
    <w:rsid w:val="00AD2569"/>
    <w:rsid w:val="00AD4C9A"/>
    <w:rsid w:val="00AE0836"/>
    <w:rsid w:val="00AE31E4"/>
    <w:rsid w:val="00AF168A"/>
    <w:rsid w:val="00AF78E3"/>
    <w:rsid w:val="00B00487"/>
    <w:rsid w:val="00B21BA9"/>
    <w:rsid w:val="00B224CF"/>
    <w:rsid w:val="00B43C4E"/>
    <w:rsid w:val="00B47611"/>
    <w:rsid w:val="00B51B2D"/>
    <w:rsid w:val="00B56165"/>
    <w:rsid w:val="00B56337"/>
    <w:rsid w:val="00B70CCA"/>
    <w:rsid w:val="00B75099"/>
    <w:rsid w:val="00B85B9D"/>
    <w:rsid w:val="00BA5BD9"/>
    <w:rsid w:val="00BB40F9"/>
    <w:rsid w:val="00BB6965"/>
    <w:rsid w:val="00BE5B5E"/>
    <w:rsid w:val="00BE5F5E"/>
    <w:rsid w:val="00BF1DD0"/>
    <w:rsid w:val="00BF294B"/>
    <w:rsid w:val="00BF33BC"/>
    <w:rsid w:val="00BF65F3"/>
    <w:rsid w:val="00BF6F98"/>
    <w:rsid w:val="00C015D9"/>
    <w:rsid w:val="00C02656"/>
    <w:rsid w:val="00C05404"/>
    <w:rsid w:val="00C0562A"/>
    <w:rsid w:val="00C11854"/>
    <w:rsid w:val="00C12AAE"/>
    <w:rsid w:val="00C22E94"/>
    <w:rsid w:val="00C2662A"/>
    <w:rsid w:val="00C36793"/>
    <w:rsid w:val="00C370A0"/>
    <w:rsid w:val="00C471A0"/>
    <w:rsid w:val="00C57DBF"/>
    <w:rsid w:val="00C60593"/>
    <w:rsid w:val="00C6108F"/>
    <w:rsid w:val="00C83583"/>
    <w:rsid w:val="00C93C91"/>
    <w:rsid w:val="00CA008D"/>
    <w:rsid w:val="00CA3EF9"/>
    <w:rsid w:val="00CB4B8B"/>
    <w:rsid w:val="00CB6B5E"/>
    <w:rsid w:val="00CC097B"/>
    <w:rsid w:val="00CC166B"/>
    <w:rsid w:val="00CC41BE"/>
    <w:rsid w:val="00CC6ADC"/>
    <w:rsid w:val="00CD1FA0"/>
    <w:rsid w:val="00CD33DB"/>
    <w:rsid w:val="00CE5610"/>
    <w:rsid w:val="00CF68A0"/>
    <w:rsid w:val="00CF7334"/>
    <w:rsid w:val="00D1437E"/>
    <w:rsid w:val="00D20D25"/>
    <w:rsid w:val="00D23208"/>
    <w:rsid w:val="00D32E3A"/>
    <w:rsid w:val="00D37B6A"/>
    <w:rsid w:val="00D45869"/>
    <w:rsid w:val="00D459F0"/>
    <w:rsid w:val="00D545B0"/>
    <w:rsid w:val="00D708AD"/>
    <w:rsid w:val="00D776C9"/>
    <w:rsid w:val="00D77F6F"/>
    <w:rsid w:val="00D97AE8"/>
    <w:rsid w:val="00DA46C0"/>
    <w:rsid w:val="00DB0697"/>
    <w:rsid w:val="00DB57CE"/>
    <w:rsid w:val="00DB6EDB"/>
    <w:rsid w:val="00DC4E67"/>
    <w:rsid w:val="00DD4AAA"/>
    <w:rsid w:val="00DE6EA1"/>
    <w:rsid w:val="00E03804"/>
    <w:rsid w:val="00E03999"/>
    <w:rsid w:val="00E063BE"/>
    <w:rsid w:val="00E11461"/>
    <w:rsid w:val="00E24ACC"/>
    <w:rsid w:val="00E3021E"/>
    <w:rsid w:val="00E3781F"/>
    <w:rsid w:val="00E604AD"/>
    <w:rsid w:val="00E64435"/>
    <w:rsid w:val="00E67279"/>
    <w:rsid w:val="00E67549"/>
    <w:rsid w:val="00E677CD"/>
    <w:rsid w:val="00E701B3"/>
    <w:rsid w:val="00E76676"/>
    <w:rsid w:val="00E80189"/>
    <w:rsid w:val="00E81C96"/>
    <w:rsid w:val="00E81D6F"/>
    <w:rsid w:val="00E839E1"/>
    <w:rsid w:val="00EA693D"/>
    <w:rsid w:val="00EB5A99"/>
    <w:rsid w:val="00EC24A0"/>
    <w:rsid w:val="00EC3163"/>
    <w:rsid w:val="00EC3BBE"/>
    <w:rsid w:val="00EE1D99"/>
    <w:rsid w:val="00EF4F21"/>
    <w:rsid w:val="00F06D83"/>
    <w:rsid w:val="00F11227"/>
    <w:rsid w:val="00F15A4E"/>
    <w:rsid w:val="00F20A3C"/>
    <w:rsid w:val="00F2190F"/>
    <w:rsid w:val="00F31906"/>
    <w:rsid w:val="00F3272B"/>
    <w:rsid w:val="00F36CED"/>
    <w:rsid w:val="00F37150"/>
    <w:rsid w:val="00F463B6"/>
    <w:rsid w:val="00F5680D"/>
    <w:rsid w:val="00F75CC1"/>
    <w:rsid w:val="00F85AB8"/>
    <w:rsid w:val="00F9245E"/>
    <w:rsid w:val="00F926CF"/>
    <w:rsid w:val="00FA50F0"/>
    <w:rsid w:val="00FA55D5"/>
    <w:rsid w:val="00FA782C"/>
    <w:rsid w:val="00FE5A2B"/>
    <w:rsid w:val="00FF487F"/>
    <w:rsid w:val="00FF60DB"/>
    <w:rsid w:val="00FF63A6"/>
    <w:rsid w:val="00FF7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rPr>
  </w:style>
  <w:style w:type="character" w:customStyle="1" w:styleId="Char">
    <w:name w:val="титульный лист центр Char"/>
    <w:link w:val="af"/>
    <w:rsid w:val="00041E1A"/>
    <w:rPr>
      <w:b/>
      <w:bCs/>
      <w:sz w:val="28"/>
      <w:szCs w:val="28"/>
    </w:rPr>
  </w:style>
  <w:style w:type="character" w:styleId="af0">
    <w:name w:val="Hyperlink"/>
    <w:rsid w:val="002668C8"/>
    <w:rPr>
      <w:color w:val="0000FF"/>
      <w:u w:val="single"/>
    </w:rPr>
  </w:style>
  <w:style w:type="table" w:styleId="af1">
    <w:name w:val="Table Grid"/>
    <w:basedOn w:val="a1"/>
    <w:rsid w:val="0070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rmal (Web)"/>
    <w:basedOn w:val="a"/>
    <w:uiPriority w:val="99"/>
    <w:semiHidden/>
    <w:unhideWhenUsed/>
    <w:rsid w:val="00F926CF"/>
    <w:pPr>
      <w:spacing w:before="100" w:beforeAutospacing="1" w:after="100" w:afterAutospacing="1"/>
    </w:pPr>
  </w:style>
  <w:style w:type="paragraph" w:styleId="af7">
    <w:name w:val="No Spacing"/>
    <w:uiPriority w:val="1"/>
    <w:qFormat/>
    <w:rsid w:val="000F4B47"/>
    <w:rPr>
      <w:rFonts w:asciiTheme="minorHAnsi" w:eastAsiaTheme="minorHAnsi" w:hAnsiTheme="minorHAnsi" w:cstheme="minorBidi"/>
      <w:sz w:val="22"/>
      <w:szCs w:val="22"/>
      <w:lang w:eastAsia="en-US"/>
    </w:rPr>
  </w:style>
  <w:style w:type="paragraph" w:styleId="af8">
    <w:name w:val="List Paragraph"/>
    <w:aliases w:val="N_List Paragraph,Colorful List - Accent 11CxSpLast,H1-1,Заголовок3,Список 1,corp de texte,Bullet Number,List Paragraph,маркированный,Bullet List,FooterText,numbered,Списки,Bullets before,без абзаца,Содержание. 2 уровень,Абзац,References,lp1"/>
    <w:basedOn w:val="a"/>
    <w:link w:val="af9"/>
    <w:uiPriority w:val="34"/>
    <w:qFormat/>
    <w:rsid w:val="00864C93"/>
    <w:pPr>
      <w:ind w:left="720"/>
      <w:contextualSpacing/>
    </w:pPr>
  </w:style>
  <w:style w:type="character" w:customStyle="1" w:styleId="af9">
    <w:name w:val="Абзац списка Знак"/>
    <w:aliases w:val="N_List Paragraph Знак,Colorful List - Accent 11CxSpLast Знак,H1-1 Знак,Заголовок3 Знак,Список 1 Знак,corp de texte Знак,Bullet Number Знак,List Paragraph Знак,маркированный Знак,Bullet List Знак,FooterText Знак,numbered Знак,Абзац Знак"/>
    <w:basedOn w:val="a0"/>
    <w:link w:val="af8"/>
    <w:uiPriority w:val="34"/>
    <w:qFormat/>
    <w:locked/>
    <w:rsid w:val="00864C93"/>
    <w:rPr>
      <w:sz w:val="24"/>
      <w:szCs w:val="24"/>
    </w:rPr>
  </w:style>
  <w:style w:type="paragraph" w:customStyle="1" w:styleId="OsnTxt">
    <w:name w:val="OsnTxt"/>
    <w:link w:val="OsnTxt0"/>
    <w:rsid w:val="00864C93"/>
    <w:pPr>
      <w:spacing w:line="280" w:lineRule="exact"/>
      <w:ind w:firstLine="794"/>
      <w:jc w:val="both"/>
    </w:pPr>
    <w:rPr>
      <w:rFonts w:ascii="Arial" w:hAnsi="Arial"/>
    </w:rPr>
  </w:style>
  <w:style w:type="character" w:customStyle="1" w:styleId="OsnTxt0">
    <w:name w:val="OsnTxt Знак"/>
    <w:basedOn w:val="a0"/>
    <w:link w:val="OsnTxt"/>
    <w:rsid w:val="00864C93"/>
    <w:rPr>
      <w:rFonts w:ascii="Arial" w:hAnsi="Arial"/>
    </w:rPr>
  </w:style>
  <w:style w:type="paragraph" w:customStyle="1" w:styleId="OsnTxt1">
    <w:name w:val="OsnTxt:"/>
    <w:basedOn w:val="OsnTxt"/>
    <w:rsid w:val="00864C93"/>
    <w:pPr>
      <w:spacing w:after="40"/>
    </w:pPr>
  </w:style>
  <w:style w:type="paragraph" w:customStyle="1" w:styleId="SpI">
    <w:name w:val="Sp.I"/>
    <w:basedOn w:val="a"/>
    <w:rsid w:val="00864C93"/>
    <w:pPr>
      <w:tabs>
        <w:tab w:val="left" w:pos="1247"/>
      </w:tabs>
      <w:spacing w:line="260" w:lineRule="exact"/>
      <w:ind w:left="1248" w:hanging="454"/>
    </w:pPr>
    <w:rPr>
      <w:rFonts w:ascii="Arial" w:hAnsi="Arial"/>
      <w:sz w:val="19"/>
      <w:szCs w:val="20"/>
    </w:rPr>
  </w:style>
  <w:style w:type="character" w:customStyle="1" w:styleId="rynqvb">
    <w:name w:val="rynqvb"/>
    <w:basedOn w:val="a0"/>
    <w:rsid w:val="00864C93"/>
  </w:style>
</w:styles>
</file>

<file path=word/webSettings.xml><?xml version="1.0" encoding="utf-8"?>
<w:webSettings xmlns:r="http://schemas.openxmlformats.org/officeDocument/2006/relationships" xmlns:w="http://schemas.openxmlformats.org/wordprocessingml/2006/main">
  <w:divs>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stat.gov.kz/ru/instuments/dashboards/8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DE53-05A8-4525-8A3D-038AE80D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2258</Words>
  <Characters>12875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d.kobegenova</cp:lastModifiedBy>
  <cp:revision>6</cp:revision>
  <cp:lastPrinted>2022-06-02T05:46:00Z</cp:lastPrinted>
  <dcterms:created xsi:type="dcterms:W3CDTF">2023-05-10T10:53:00Z</dcterms:created>
  <dcterms:modified xsi:type="dcterms:W3CDTF">2023-05-11T04:41:00Z</dcterms:modified>
</cp:coreProperties>
</file>