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"/>
        <w:tblW w:w="10064" w:type="dxa"/>
        <w:tblLayout w:type="fixed"/>
        <w:tblLook w:val="01E0"/>
      </w:tblPr>
      <w:tblGrid>
        <w:gridCol w:w="4111"/>
        <w:gridCol w:w="1701"/>
        <w:gridCol w:w="4252"/>
      </w:tblGrid>
      <w:tr w:rsidR="00DF0402" w:rsidRPr="007C0E40" w:rsidTr="00AB7767">
        <w:trPr>
          <w:trHeight w:val="1980"/>
        </w:trPr>
        <w:tc>
          <w:tcPr>
            <w:tcW w:w="4111" w:type="dxa"/>
            <w:vAlign w:val="center"/>
          </w:tcPr>
          <w:p w:rsidR="00DF0402" w:rsidRDefault="00DF0402" w:rsidP="00853425">
            <w:pPr>
              <w:keepNext/>
              <w:spacing w:line="276" w:lineRule="auto"/>
              <w:jc w:val="center"/>
              <w:outlineLvl w:val="4"/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</w:pPr>
            <w:r w:rsidRPr="007C0E40">
              <w:rPr>
                <w:b/>
                <w:caps/>
                <w:color w:val="0000FF"/>
                <w:sz w:val="28"/>
                <w:szCs w:val="28"/>
                <w:lang w:eastAsia="ko-KR"/>
              </w:rPr>
              <w:t xml:space="preserve">Алматы </w:t>
            </w:r>
            <w:r w:rsidRPr="007C0E40"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  <w:t>облы</w:t>
            </w:r>
            <w:r w:rsidRPr="007C0E40">
              <w:rPr>
                <w:b/>
                <w:caps/>
                <w:color w:val="0000FF"/>
                <w:sz w:val="28"/>
                <w:szCs w:val="28"/>
                <w:lang w:eastAsia="ko-KR"/>
              </w:rPr>
              <w:t>с</w:t>
            </w:r>
            <w:r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  <w:t>ы</w:t>
            </w:r>
            <w:r w:rsidR="000C4B67"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  <w:t>НЫҢ</w:t>
            </w:r>
          </w:p>
          <w:p w:rsidR="00DF0402" w:rsidRPr="00256676" w:rsidRDefault="00DF0402" w:rsidP="00853425">
            <w:pPr>
              <w:keepNext/>
              <w:spacing w:line="276" w:lineRule="auto"/>
              <w:jc w:val="center"/>
              <w:outlineLvl w:val="4"/>
              <w:rPr>
                <w:sz w:val="16"/>
                <w:szCs w:val="16"/>
                <w:lang w:val="kk-KZ" w:eastAsia="ko-KR"/>
              </w:rPr>
            </w:pPr>
            <w:r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  <w:t>әкімі</w:t>
            </w:r>
          </w:p>
          <w:p w:rsidR="00DF0402" w:rsidRPr="00256676" w:rsidRDefault="00DF0402" w:rsidP="00D02BF0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DF0402" w:rsidRPr="007C0E40" w:rsidRDefault="00DF0402" w:rsidP="00775CDD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76200</wp:posOffset>
                  </wp:positionH>
                  <wp:positionV relativeFrom="paragraph">
                    <wp:posOffset>229235</wp:posOffset>
                  </wp:positionV>
                  <wp:extent cx="936625" cy="964565"/>
                  <wp:effectExtent l="0" t="0" r="0" b="698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64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vAlign w:val="center"/>
          </w:tcPr>
          <w:p w:rsidR="00DF0402" w:rsidRDefault="00DF0402" w:rsidP="00853425">
            <w:pPr>
              <w:keepNext/>
              <w:spacing w:line="276" w:lineRule="auto"/>
              <w:jc w:val="center"/>
              <w:outlineLvl w:val="4"/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</w:pPr>
            <w:r w:rsidRPr="007C0E40"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  <w:t>аким</w:t>
            </w:r>
          </w:p>
          <w:p w:rsidR="00DF0402" w:rsidRPr="00F267A1" w:rsidRDefault="00DF0402" w:rsidP="00853425">
            <w:pPr>
              <w:keepNext/>
              <w:spacing w:line="276" w:lineRule="auto"/>
              <w:jc w:val="center"/>
              <w:outlineLvl w:val="4"/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</w:pPr>
            <w:r w:rsidRPr="007C0E40"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  <w:t>алматинской</w:t>
            </w:r>
            <w:r w:rsidR="000C4B67"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  <w:t xml:space="preserve"> </w:t>
            </w:r>
            <w:r w:rsidRPr="007C0E40">
              <w:rPr>
                <w:b/>
                <w:caps/>
                <w:color w:val="0000FF"/>
                <w:sz w:val="28"/>
                <w:szCs w:val="28"/>
                <w:lang w:val="kk-KZ" w:eastAsia="ko-KR"/>
              </w:rPr>
              <w:t>области</w:t>
            </w:r>
          </w:p>
          <w:p w:rsidR="00DF0402" w:rsidRPr="00256676" w:rsidRDefault="00DF0402" w:rsidP="00D02BF0">
            <w:pPr>
              <w:tabs>
                <w:tab w:val="left" w:pos="4145"/>
                <w:tab w:val="left" w:pos="4287"/>
              </w:tabs>
              <w:jc w:val="center"/>
              <w:rPr>
                <w:b/>
                <w:bCs/>
                <w:caps/>
                <w:color w:val="0000FF"/>
                <w:sz w:val="16"/>
                <w:szCs w:val="16"/>
              </w:rPr>
            </w:pPr>
          </w:p>
        </w:tc>
      </w:tr>
      <w:tr w:rsidR="00DF0402" w:rsidRPr="00853425" w:rsidTr="00AB7767">
        <w:trPr>
          <w:trHeight w:val="394"/>
        </w:trPr>
        <w:tc>
          <w:tcPr>
            <w:tcW w:w="4111" w:type="dxa"/>
            <w:vAlign w:val="center"/>
          </w:tcPr>
          <w:p w:rsidR="00DF0402" w:rsidRPr="00D46B55" w:rsidRDefault="00DF0402" w:rsidP="00D02BF0">
            <w:pPr>
              <w:jc w:val="center"/>
              <w:rPr>
                <w:color w:val="0000FF"/>
                <w:sz w:val="18"/>
                <w:szCs w:val="18"/>
                <w:lang w:val="kk-KZ"/>
              </w:rPr>
            </w:pPr>
            <w:r w:rsidRPr="00D46B55">
              <w:rPr>
                <w:color w:val="0000FF"/>
                <w:sz w:val="18"/>
                <w:szCs w:val="18"/>
              </w:rPr>
              <w:t>040</w:t>
            </w:r>
            <w:r>
              <w:rPr>
                <w:color w:val="0000FF"/>
                <w:sz w:val="18"/>
                <w:szCs w:val="18"/>
                <w:lang w:val="kk-KZ"/>
              </w:rPr>
              <w:t>8</w:t>
            </w:r>
            <w:r w:rsidRPr="00D46B55">
              <w:rPr>
                <w:color w:val="0000FF"/>
                <w:sz w:val="18"/>
                <w:szCs w:val="18"/>
              </w:rPr>
              <w:t xml:space="preserve">00, </w:t>
            </w:r>
            <w:r w:rsidRPr="00D46B55">
              <w:rPr>
                <w:color w:val="0000FF"/>
                <w:sz w:val="18"/>
                <w:szCs w:val="18"/>
                <w:lang w:val="kk-KZ"/>
              </w:rPr>
              <w:t xml:space="preserve">Алматы облысы, </w:t>
            </w:r>
            <w:r>
              <w:rPr>
                <w:color w:val="0000FF"/>
                <w:sz w:val="18"/>
                <w:szCs w:val="18"/>
                <w:lang w:val="kk-KZ"/>
              </w:rPr>
              <w:t xml:space="preserve">Қонаев </w:t>
            </w:r>
            <w:r w:rsidRPr="00D46B55">
              <w:rPr>
                <w:color w:val="0000FF"/>
                <w:sz w:val="18"/>
                <w:szCs w:val="18"/>
                <w:lang w:val="kk-KZ"/>
              </w:rPr>
              <w:t>қаласы</w:t>
            </w:r>
            <w:r w:rsidRPr="00D46B55">
              <w:rPr>
                <w:color w:val="0000FF"/>
                <w:sz w:val="18"/>
                <w:szCs w:val="18"/>
              </w:rPr>
              <w:t>,</w:t>
            </w:r>
          </w:p>
          <w:p w:rsidR="00DF0402" w:rsidRPr="00D46B55" w:rsidRDefault="004D753D" w:rsidP="00D02BF0">
            <w:pPr>
              <w:jc w:val="center"/>
              <w:rPr>
                <w:color w:val="0000FF"/>
                <w:sz w:val="18"/>
                <w:szCs w:val="18"/>
                <w:lang w:val="kk-KZ"/>
              </w:rPr>
            </w:pPr>
            <w:r>
              <w:rPr>
                <w:color w:val="0000FF"/>
                <w:sz w:val="18"/>
                <w:szCs w:val="18"/>
                <w:lang w:val="kk-KZ"/>
              </w:rPr>
              <w:t>Индустриялық қ.</w:t>
            </w:r>
            <w:r w:rsidR="00DF0402" w:rsidRPr="00D46B55">
              <w:rPr>
                <w:color w:val="0000FF"/>
                <w:sz w:val="18"/>
                <w:szCs w:val="18"/>
                <w:lang w:val="kk-KZ"/>
              </w:rPr>
              <w:t xml:space="preserve">, </w:t>
            </w:r>
            <w:r w:rsidR="00040E4B">
              <w:rPr>
                <w:color w:val="0000FF"/>
                <w:sz w:val="18"/>
                <w:szCs w:val="18"/>
                <w:lang w:val="kk-KZ"/>
              </w:rPr>
              <w:t>16/4</w:t>
            </w:r>
            <w:r w:rsidR="00DF0402" w:rsidRPr="00D46B55">
              <w:rPr>
                <w:color w:val="0000FF"/>
                <w:sz w:val="18"/>
                <w:szCs w:val="18"/>
                <w:lang w:val="kk-KZ"/>
              </w:rPr>
              <w:t>,</w:t>
            </w:r>
          </w:p>
          <w:p w:rsidR="00DF0402" w:rsidRPr="00535222" w:rsidRDefault="00DF0402" w:rsidP="00D02BF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lang w:val="kk-KZ"/>
              </w:rPr>
              <w:t xml:space="preserve">тел./факс: </w:t>
            </w:r>
            <w:r w:rsidRPr="00535222">
              <w:rPr>
                <w:color w:val="0000FF"/>
                <w:sz w:val="18"/>
                <w:szCs w:val="18"/>
                <w:lang w:val="kk-KZ"/>
              </w:rPr>
              <w:t>+7 /72772/ 4-45-51</w:t>
            </w:r>
          </w:p>
          <w:p w:rsidR="00DF0402" w:rsidRPr="00F83576" w:rsidRDefault="00DF0402" w:rsidP="00D02BF0">
            <w:pPr>
              <w:rPr>
                <w:color w:val="0000FF"/>
                <w:sz w:val="18"/>
                <w:szCs w:val="18"/>
                <w:lang w:val="en-US"/>
              </w:rPr>
            </w:pPr>
            <w:r w:rsidRPr="00D46B55">
              <w:rPr>
                <w:color w:val="0000FF"/>
                <w:sz w:val="18"/>
                <w:szCs w:val="18"/>
                <w:lang w:val="kk-KZ"/>
              </w:rPr>
              <w:t xml:space="preserve">БСН 000640002245, E-mail: </w:t>
            </w:r>
            <w:r w:rsidR="00B10B29" w:rsidRPr="00B10B29">
              <w:fldChar w:fldCharType="begin"/>
            </w:r>
            <w:r w:rsidRPr="00642C0C">
              <w:rPr>
                <w:lang w:val="en-US"/>
              </w:rPr>
              <w:instrText>HYPERLINK</w:instrText>
            </w:r>
            <w:r w:rsidRPr="00F83576">
              <w:rPr>
                <w:lang w:val="en-US"/>
              </w:rPr>
              <w:instrText xml:space="preserve"> "</w:instrText>
            </w:r>
            <w:r w:rsidRPr="00642C0C">
              <w:rPr>
                <w:lang w:val="en-US"/>
              </w:rPr>
              <w:instrText>mailto</w:instrText>
            </w:r>
            <w:r w:rsidRPr="00F83576">
              <w:rPr>
                <w:lang w:val="en-US"/>
              </w:rPr>
              <w:instrText>:</w:instrText>
            </w:r>
            <w:r w:rsidRPr="00642C0C">
              <w:rPr>
                <w:lang w:val="en-US"/>
              </w:rPr>
              <w:instrText>akimat</w:instrText>
            </w:r>
            <w:r w:rsidRPr="00F83576">
              <w:rPr>
                <w:lang w:val="en-US"/>
              </w:rPr>
              <w:instrText>@</w:instrText>
            </w:r>
            <w:r w:rsidRPr="00642C0C">
              <w:rPr>
                <w:lang w:val="en-US"/>
              </w:rPr>
              <w:instrText>zhetysu</w:instrText>
            </w:r>
            <w:r w:rsidRPr="00F83576">
              <w:rPr>
                <w:lang w:val="en-US"/>
              </w:rPr>
              <w:instrText>.</w:instrText>
            </w:r>
            <w:r w:rsidRPr="00642C0C">
              <w:rPr>
                <w:lang w:val="en-US"/>
              </w:rPr>
              <w:instrText>gov</w:instrText>
            </w:r>
            <w:r w:rsidRPr="00F83576">
              <w:rPr>
                <w:lang w:val="en-US"/>
              </w:rPr>
              <w:instrText>.</w:instrText>
            </w:r>
            <w:r w:rsidRPr="00642C0C">
              <w:rPr>
                <w:lang w:val="en-US"/>
              </w:rPr>
              <w:instrText>kz</w:instrText>
            </w:r>
            <w:r w:rsidRPr="00F83576">
              <w:rPr>
                <w:lang w:val="en-US"/>
              </w:rPr>
              <w:instrText xml:space="preserve">" </w:instrText>
            </w:r>
            <w:r w:rsidR="00B10B29" w:rsidRPr="00B10B29">
              <w:fldChar w:fldCharType="separate"/>
            </w:r>
            <w:r w:rsidRPr="00642C0C">
              <w:rPr>
                <w:color w:val="0000FF"/>
                <w:sz w:val="18"/>
                <w:szCs w:val="18"/>
                <w:lang w:val="en-US"/>
              </w:rPr>
              <w:t>akimat</w:t>
            </w:r>
            <w:r w:rsidRPr="00F83576">
              <w:rPr>
                <w:color w:val="0000FF"/>
                <w:sz w:val="18"/>
                <w:szCs w:val="18"/>
                <w:lang w:val="en-US"/>
              </w:rPr>
              <w:t>@</w:t>
            </w:r>
            <w:r>
              <w:rPr>
                <w:color w:val="0000FF"/>
                <w:sz w:val="18"/>
                <w:szCs w:val="18"/>
                <w:lang w:val="en-US"/>
              </w:rPr>
              <w:t>almobl</w:t>
            </w:r>
            <w:r w:rsidRPr="00F83576">
              <w:rPr>
                <w:color w:val="0000FF"/>
                <w:sz w:val="18"/>
                <w:szCs w:val="18"/>
                <w:lang w:val="en-US"/>
              </w:rPr>
              <w:t>.</w:t>
            </w:r>
            <w:r w:rsidRPr="00642C0C">
              <w:rPr>
                <w:color w:val="0000FF"/>
                <w:sz w:val="18"/>
                <w:szCs w:val="18"/>
                <w:lang w:val="en-US"/>
              </w:rPr>
              <w:t>gov</w:t>
            </w:r>
            <w:r w:rsidRPr="00F83576">
              <w:rPr>
                <w:color w:val="0000FF"/>
                <w:sz w:val="18"/>
                <w:szCs w:val="18"/>
                <w:lang w:val="en-US"/>
              </w:rPr>
              <w:t>.</w:t>
            </w:r>
            <w:r w:rsidRPr="00642C0C">
              <w:rPr>
                <w:color w:val="0000FF"/>
                <w:sz w:val="18"/>
                <w:szCs w:val="18"/>
                <w:lang w:val="en-US"/>
              </w:rPr>
              <w:t>kz</w:t>
            </w:r>
            <w:r w:rsidR="00B10B29">
              <w:rPr>
                <w:color w:val="0000FF"/>
                <w:sz w:val="18"/>
                <w:szCs w:val="18"/>
              </w:rPr>
              <w:fldChar w:fldCharType="end"/>
            </w:r>
          </w:p>
          <w:p w:rsidR="00DF0402" w:rsidRPr="00D46B55" w:rsidRDefault="00DF0402" w:rsidP="00D02BF0">
            <w:pPr>
              <w:spacing w:line="360" w:lineRule="auto"/>
              <w:rPr>
                <w:color w:val="0000FF"/>
                <w:sz w:val="18"/>
                <w:szCs w:val="18"/>
                <w:lang w:val="kk-KZ"/>
              </w:rPr>
            </w:pPr>
          </w:p>
          <w:p w:rsidR="00DF0402" w:rsidRPr="004D753D" w:rsidRDefault="00DF0402" w:rsidP="00D02BF0">
            <w:pPr>
              <w:tabs>
                <w:tab w:val="left" w:pos="0"/>
              </w:tabs>
              <w:spacing w:line="360" w:lineRule="auto"/>
              <w:rPr>
                <w:color w:val="0000FF"/>
                <w:sz w:val="18"/>
                <w:szCs w:val="18"/>
              </w:rPr>
            </w:pPr>
            <w:r w:rsidRPr="004D753D">
              <w:rPr>
                <w:color w:val="0000FF"/>
                <w:sz w:val="18"/>
                <w:szCs w:val="18"/>
              </w:rPr>
              <w:t>_____________________</w:t>
            </w:r>
            <w:r w:rsidRPr="00D46B55">
              <w:rPr>
                <w:color w:val="0000FF"/>
                <w:sz w:val="18"/>
                <w:szCs w:val="18"/>
              </w:rPr>
              <w:t>№</w:t>
            </w:r>
            <w:r w:rsidRPr="004D753D">
              <w:rPr>
                <w:color w:val="0000FF"/>
                <w:sz w:val="18"/>
                <w:szCs w:val="18"/>
              </w:rPr>
              <w:t>____________________</w:t>
            </w:r>
          </w:p>
          <w:p w:rsidR="00DF0402" w:rsidRPr="004D753D" w:rsidRDefault="00DF0402" w:rsidP="00D02BF0">
            <w:pPr>
              <w:spacing w:line="360" w:lineRule="auto"/>
              <w:jc w:val="center"/>
              <w:rPr>
                <w:color w:val="0000FF"/>
                <w:sz w:val="18"/>
                <w:szCs w:val="18"/>
              </w:rPr>
            </w:pPr>
            <w:r w:rsidRPr="004D753D">
              <w:rPr>
                <w:color w:val="0000FF"/>
                <w:sz w:val="18"/>
                <w:szCs w:val="18"/>
              </w:rPr>
              <w:t>_____</w:t>
            </w:r>
            <w:r w:rsidRPr="00D46B55">
              <w:rPr>
                <w:color w:val="0000FF"/>
                <w:sz w:val="18"/>
                <w:szCs w:val="18"/>
              </w:rPr>
              <w:t>_</w:t>
            </w:r>
            <w:r w:rsidRPr="004D753D">
              <w:rPr>
                <w:color w:val="0000FF"/>
                <w:sz w:val="18"/>
                <w:szCs w:val="18"/>
              </w:rPr>
              <w:t>_____________________________________</w:t>
            </w:r>
          </w:p>
        </w:tc>
        <w:tc>
          <w:tcPr>
            <w:tcW w:w="1701" w:type="dxa"/>
            <w:vAlign w:val="center"/>
          </w:tcPr>
          <w:p w:rsidR="00DF0402" w:rsidRPr="00D46B55" w:rsidRDefault="00DF0402" w:rsidP="00D02BF0">
            <w:pPr>
              <w:jc w:val="center"/>
              <w:rPr>
                <w:lang w:val="kk-KZ"/>
              </w:rPr>
            </w:pPr>
          </w:p>
        </w:tc>
        <w:tc>
          <w:tcPr>
            <w:tcW w:w="4252" w:type="dxa"/>
          </w:tcPr>
          <w:p w:rsidR="00DF0402" w:rsidRPr="00D46B55" w:rsidRDefault="00DF0402" w:rsidP="004D753D">
            <w:pPr>
              <w:tabs>
                <w:tab w:val="left" w:pos="245"/>
              </w:tabs>
              <w:jc w:val="center"/>
              <w:rPr>
                <w:color w:val="0000FF"/>
                <w:sz w:val="18"/>
                <w:szCs w:val="18"/>
                <w:lang w:val="kk-KZ"/>
              </w:rPr>
            </w:pPr>
            <w:r>
              <w:rPr>
                <w:color w:val="0000FF"/>
                <w:sz w:val="18"/>
                <w:szCs w:val="18"/>
                <w:lang w:val="kk-KZ"/>
              </w:rPr>
              <w:t>0408</w:t>
            </w:r>
            <w:r w:rsidRPr="00D46B55">
              <w:rPr>
                <w:color w:val="0000FF"/>
                <w:sz w:val="18"/>
                <w:szCs w:val="18"/>
                <w:lang w:val="kk-KZ"/>
              </w:rPr>
              <w:t xml:space="preserve">00, Алматинская область, город </w:t>
            </w:r>
            <w:r w:rsidR="000C4B67">
              <w:rPr>
                <w:color w:val="0000FF"/>
                <w:sz w:val="18"/>
                <w:szCs w:val="18"/>
                <w:lang w:val="kk-KZ"/>
              </w:rPr>
              <w:t>К</w:t>
            </w:r>
            <w:r>
              <w:rPr>
                <w:color w:val="0000FF"/>
                <w:sz w:val="18"/>
                <w:szCs w:val="18"/>
                <w:lang w:val="kk-KZ"/>
              </w:rPr>
              <w:t>онаев</w:t>
            </w:r>
            <w:r w:rsidRPr="00D46B55">
              <w:rPr>
                <w:color w:val="0000FF"/>
                <w:sz w:val="18"/>
                <w:szCs w:val="18"/>
                <w:lang w:val="kk-KZ"/>
              </w:rPr>
              <w:t>,</w:t>
            </w:r>
          </w:p>
          <w:p w:rsidR="00DF0402" w:rsidRPr="00D46B55" w:rsidRDefault="004D753D" w:rsidP="004D753D">
            <w:pPr>
              <w:jc w:val="center"/>
              <w:rPr>
                <w:color w:val="0000FF"/>
                <w:sz w:val="18"/>
                <w:szCs w:val="18"/>
                <w:lang w:val="kk-KZ"/>
              </w:rPr>
            </w:pPr>
            <w:r>
              <w:rPr>
                <w:color w:val="0000FF"/>
                <w:sz w:val="18"/>
                <w:szCs w:val="18"/>
              </w:rPr>
              <w:t>ул. Индустриальная</w:t>
            </w:r>
            <w:r w:rsidR="00DF0402" w:rsidRPr="00D46B55">
              <w:rPr>
                <w:color w:val="0000FF"/>
                <w:sz w:val="18"/>
                <w:szCs w:val="18"/>
                <w:lang w:val="kk-KZ"/>
              </w:rPr>
              <w:t xml:space="preserve">, </w:t>
            </w:r>
            <w:r>
              <w:rPr>
                <w:color w:val="0000FF"/>
                <w:sz w:val="18"/>
                <w:szCs w:val="18"/>
                <w:lang w:val="kk-KZ"/>
              </w:rPr>
              <w:t>16/4</w:t>
            </w:r>
            <w:r w:rsidR="00DF0402" w:rsidRPr="00D46B55">
              <w:rPr>
                <w:color w:val="0000FF"/>
                <w:sz w:val="18"/>
                <w:szCs w:val="18"/>
                <w:lang w:val="kk-KZ"/>
              </w:rPr>
              <w:t>,</w:t>
            </w:r>
          </w:p>
          <w:p w:rsidR="00DF0402" w:rsidRPr="00535222" w:rsidRDefault="00DF0402" w:rsidP="004D753D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lang w:val="kk-KZ"/>
              </w:rPr>
              <w:t xml:space="preserve">тел./факс: </w:t>
            </w:r>
            <w:r w:rsidRPr="00535222">
              <w:rPr>
                <w:color w:val="0000FF"/>
                <w:sz w:val="18"/>
                <w:szCs w:val="18"/>
                <w:lang w:val="kk-KZ"/>
              </w:rPr>
              <w:t>+7 /72772/ 4-45-51</w:t>
            </w:r>
          </w:p>
          <w:p w:rsidR="00DF0402" w:rsidRPr="00D46B55" w:rsidRDefault="00DF0402" w:rsidP="004D753D">
            <w:pPr>
              <w:jc w:val="center"/>
              <w:rPr>
                <w:color w:val="0000FF"/>
                <w:sz w:val="18"/>
                <w:szCs w:val="18"/>
                <w:lang w:val="kk-KZ"/>
              </w:rPr>
            </w:pPr>
            <w:r w:rsidRPr="00D46B55">
              <w:rPr>
                <w:color w:val="0000FF"/>
                <w:sz w:val="18"/>
                <w:szCs w:val="18"/>
                <w:lang w:val="kk-KZ"/>
              </w:rPr>
              <w:t xml:space="preserve">БСН 000640002245, E-mail: </w:t>
            </w:r>
            <w:r w:rsidR="00B10B29" w:rsidRPr="00B10B29">
              <w:fldChar w:fldCharType="begin"/>
            </w:r>
            <w:r w:rsidRPr="00642C0C">
              <w:rPr>
                <w:lang w:val="en-US"/>
              </w:rPr>
              <w:instrText>HYPERLINK</w:instrText>
            </w:r>
            <w:r w:rsidRPr="00F83576">
              <w:rPr>
                <w:lang w:val="en-US"/>
              </w:rPr>
              <w:instrText xml:space="preserve"> "</w:instrText>
            </w:r>
            <w:r w:rsidRPr="00642C0C">
              <w:rPr>
                <w:lang w:val="en-US"/>
              </w:rPr>
              <w:instrText>mailto</w:instrText>
            </w:r>
            <w:r w:rsidRPr="00F83576">
              <w:rPr>
                <w:lang w:val="en-US"/>
              </w:rPr>
              <w:instrText>:</w:instrText>
            </w:r>
            <w:r w:rsidRPr="00642C0C">
              <w:rPr>
                <w:lang w:val="en-US"/>
              </w:rPr>
              <w:instrText>akimat</w:instrText>
            </w:r>
            <w:r w:rsidRPr="00F83576">
              <w:rPr>
                <w:lang w:val="en-US"/>
              </w:rPr>
              <w:instrText>@</w:instrText>
            </w:r>
            <w:r w:rsidRPr="00642C0C">
              <w:rPr>
                <w:lang w:val="en-US"/>
              </w:rPr>
              <w:instrText>zhetysu</w:instrText>
            </w:r>
            <w:r w:rsidRPr="00F83576">
              <w:rPr>
                <w:lang w:val="en-US"/>
              </w:rPr>
              <w:instrText>.</w:instrText>
            </w:r>
            <w:r w:rsidRPr="00642C0C">
              <w:rPr>
                <w:lang w:val="en-US"/>
              </w:rPr>
              <w:instrText>gov</w:instrText>
            </w:r>
            <w:r w:rsidRPr="00F83576">
              <w:rPr>
                <w:lang w:val="en-US"/>
              </w:rPr>
              <w:instrText>.</w:instrText>
            </w:r>
            <w:r w:rsidRPr="00642C0C">
              <w:rPr>
                <w:lang w:val="en-US"/>
              </w:rPr>
              <w:instrText>kz</w:instrText>
            </w:r>
            <w:r w:rsidRPr="00F83576">
              <w:rPr>
                <w:lang w:val="en-US"/>
              </w:rPr>
              <w:instrText xml:space="preserve">" </w:instrText>
            </w:r>
            <w:r w:rsidR="00B10B29" w:rsidRPr="00B10B29">
              <w:fldChar w:fldCharType="separate"/>
            </w:r>
            <w:r w:rsidRPr="00642C0C">
              <w:rPr>
                <w:color w:val="0000FF"/>
                <w:sz w:val="18"/>
                <w:szCs w:val="18"/>
                <w:lang w:val="en-US"/>
              </w:rPr>
              <w:t>akimat</w:t>
            </w:r>
            <w:r w:rsidRPr="00F83576">
              <w:rPr>
                <w:color w:val="0000FF"/>
                <w:sz w:val="18"/>
                <w:szCs w:val="18"/>
                <w:lang w:val="en-US"/>
              </w:rPr>
              <w:t>@</w:t>
            </w:r>
            <w:r>
              <w:rPr>
                <w:color w:val="0000FF"/>
                <w:sz w:val="18"/>
                <w:szCs w:val="18"/>
                <w:lang w:val="en-US"/>
              </w:rPr>
              <w:t>almobl</w:t>
            </w:r>
            <w:r w:rsidRPr="00F83576">
              <w:rPr>
                <w:color w:val="0000FF"/>
                <w:sz w:val="18"/>
                <w:szCs w:val="18"/>
                <w:lang w:val="en-US"/>
              </w:rPr>
              <w:t>.</w:t>
            </w:r>
            <w:r w:rsidRPr="00642C0C">
              <w:rPr>
                <w:color w:val="0000FF"/>
                <w:sz w:val="18"/>
                <w:szCs w:val="18"/>
                <w:lang w:val="en-US"/>
              </w:rPr>
              <w:t>gov</w:t>
            </w:r>
            <w:r w:rsidRPr="00F83576">
              <w:rPr>
                <w:color w:val="0000FF"/>
                <w:sz w:val="18"/>
                <w:szCs w:val="18"/>
                <w:lang w:val="en-US"/>
              </w:rPr>
              <w:t>.</w:t>
            </w:r>
            <w:r w:rsidRPr="00642C0C">
              <w:rPr>
                <w:color w:val="0000FF"/>
                <w:sz w:val="18"/>
                <w:szCs w:val="18"/>
                <w:lang w:val="en-US"/>
              </w:rPr>
              <w:t>kz</w:t>
            </w:r>
            <w:r w:rsidR="00B10B29">
              <w:rPr>
                <w:color w:val="0000FF"/>
                <w:sz w:val="18"/>
                <w:szCs w:val="18"/>
              </w:rPr>
              <w:fldChar w:fldCharType="end"/>
            </w:r>
          </w:p>
          <w:p w:rsidR="00DF0402" w:rsidRPr="00D46B55" w:rsidRDefault="00DF0402" w:rsidP="004D753D">
            <w:pPr>
              <w:jc w:val="center"/>
              <w:rPr>
                <w:lang w:val="kk-KZ"/>
              </w:rPr>
            </w:pPr>
          </w:p>
        </w:tc>
      </w:tr>
    </w:tbl>
    <w:p w:rsidR="0046771F" w:rsidRPr="00F83576" w:rsidRDefault="0046771F" w:rsidP="00DF0402">
      <w:pPr>
        <w:rPr>
          <w:b/>
          <w:sz w:val="28"/>
          <w:szCs w:val="28"/>
          <w:lang w:val="en-US"/>
        </w:rPr>
      </w:pPr>
    </w:p>
    <w:p w:rsidR="003B1958" w:rsidRPr="00691C85" w:rsidRDefault="003B1958" w:rsidP="003B1958">
      <w:pPr>
        <w:ind w:left="567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Депутатам фракции ДПК «Ак жол»</w:t>
      </w:r>
    </w:p>
    <w:p w:rsidR="003B1958" w:rsidRDefault="003B1958" w:rsidP="003B1958">
      <w:pPr>
        <w:ind w:firstLine="708"/>
        <w:rPr>
          <w:i/>
          <w:sz w:val="22"/>
          <w:szCs w:val="28"/>
        </w:rPr>
      </w:pPr>
    </w:p>
    <w:p w:rsidR="003B1958" w:rsidRPr="005511C0" w:rsidRDefault="003B1958" w:rsidP="003B1958">
      <w:pPr>
        <w:rPr>
          <w:i/>
          <w:sz w:val="22"/>
          <w:szCs w:val="28"/>
          <w:lang w:val="kk-KZ"/>
        </w:rPr>
      </w:pPr>
      <w:r>
        <w:rPr>
          <w:i/>
          <w:sz w:val="22"/>
          <w:szCs w:val="28"/>
        </w:rPr>
        <w:t xml:space="preserve">На письмо </w:t>
      </w:r>
      <w:r w:rsidRPr="00691C85">
        <w:rPr>
          <w:i/>
          <w:sz w:val="22"/>
          <w:szCs w:val="28"/>
        </w:rPr>
        <w:t>№</w:t>
      </w:r>
      <w:r>
        <w:rPr>
          <w:i/>
          <w:sz w:val="22"/>
          <w:szCs w:val="28"/>
        </w:rPr>
        <w:t>ДЗ</w:t>
      </w:r>
      <w:r w:rsidRPr="00691C85">
        <w:rPr>
          <w:i/>
          <w:sz w:val="22"/>
          <w:szCs w:val="28"/>
        </w:rPr>
        <w:t>-</w:t>
      </w:r>
      <w:r>
        <w:rPr>
          <w:i/>
          <w:sz w:val="22"/>
          <w:szCs w:val="28"/>
        </w:rPr>
        <w:t>224</w:t>
      </w:r>
    </w:p>
    <w:p w:rsidR="003B1958" w:rsidRPr="005511C0" w:rsidRDefault="003B1958" w:rsidP="003B1958">
      <w:pPr>
        <w:rPr>
          <w:i/>
          <w:sz w:val="22"/>
          <w:szCs w:val="28"/>
          <w:lang w:val="kk-KZ"/>
        </w:rPr>
      </w:pPr>
      <w:r>
        <w:rPr>
          <w:i/>
          <w:sz w:val="22"/>
          <w:szCs w:val="28"/>
        </w:rPr>
        <w:t>от 14 июня 2023 года</w:t>
      </w:r>
      <w:r>
        <w:rPr>
          <w:i/>
          <w:sz w:val="22"/>
          <w:szCs w:val="28"/>
          <w:lang w:val="kk-KZ"/>
        </w:rPr>
        <w:t xml:space="preserve"> </w:t>
      </w:r>
    </w:p>
    <w:p w:rsidR="003B1958" w:rsidRDefault="003B1958" w:rsidP="003B1958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3B1958" w:rsidRDefault="003B1958" w:rsidP="003B1958">
      <w:pPr>
        <w:ind w:firstLine="708"/>
        <w:jc w:val="both"/>
        <w:rPr>
          <w:sz w:val="28"/>
          <w:szCs w:val="28"/>
        </w:rPr>
      </w:pPr>
    </w:p>
    <w:p w:rsidR="003B1958" w:rsidRDefault="003B1958" w:rsidP="003B195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области, на Ваш депутатский запрос </w:t>
      </w:r>
      <w:r w:rsidRPr="005B04F1">
        <w:rPr>
          <w:sz w:val="28"/>
          <w:szCs w:val="28"/>
        </w:rPr>
        <w:t>относительно понижения ставки розничного налога для малого бизнеса</w:t>
      </w:r>
      <w:r>
        <w:rPr>
          <w:sz w:val="28"/>
          <w:szCs w:val="28"/>
        </w:rPr>
        <w:t>,</w:t>
      </w:r>
      <w:r w:rsidRPr="005B04F1">
        <w:rPr>
          <w:sz w:val="28"/>
          <w:szCs w:val="28"/>
        </w:rPr>
        <w:t xml:space="preserve"> сообщает следующее</w:t>
      </w:r>
      <w:r>
        <w:rPr>
          <w:sz w:val="28"/>
          <w:szCs w:val="28"/>
        </w:rPr>
        <w:t>.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proofErr w:type="gramStart"/>
      <w:r w:rsidRPr="005B04F1">
        <w:rPr>
          <w:sz w:val="28"/>
          <w:szCs w:val="28"/>
        </w:rPr>
        <w:t>Законом РК «О внесении изменении и дополнений в Кодекс Республики Казахстан «О налогах и других обязательных платежах в бюджет» и Законом РК «О введении в действие Кодекса РК «О налогах и других обязательных платежах в бюджет» розничный налог введен ретроспективно с 1 января 2023 года действует на постоянной основе 190 видов деятельности.</w:t>
      </w:r>
      <w:proofErr w:type="gramEnd"/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>СНР розничного налога вправе применять налогоплательщики, соответствующие следующим условиям: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4F1">
        <w:rPr>
          <w:sz w:val="28"/>
          <w:szCs w:val="28"/>
        </w:rPr>
        <w:t>среднесписочная численность работников за налоговый период не превышает 200 человек;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4F1">
        <w:rPr>
          <w:sz w:val="28"/>
          <w:szCs w:val="28"/>
        </w:rPr>
        <w:t xml:space="preserve">доход за календарный год не превышает 600 000 МРП (2 070 000 </w:t>
      </w:r>
      <w:proofErr w:type="spellStart"/>
      <w:r w:rsidRPr="005B04F1">
        <w:rPr>
          <w:sz w:val="28"/>
          <w:szCs w:val="28"/>
        </w:rPr>
        <w:t>000</w:t>
      </w:r>
      <w:proofErr w:type="spellEnd"/>
      <w:r w:rsidRPr="005B04F1">
        <w:rPr>
          <w:sz w:val="28"/>
          <w:szCs w:val="28"/>
        </w:rPr>
        <w:t xml:space="preserve"> </w:t>
      </w:r>
      <w:proofErr w:type="spellStart"/>
      <w:r w:rsidRPr="005B04F1">
        <w:rPr>
          <w:sz w:val="28"/>
          <w:szCs w:val="28"/>
        </w:rPr>
        <w:t>тг</w:t>
      </w:r>
      <w:proofErr w:type="spellEnd"/>
      <w:r w:rsidRPr="005B04F1">
        <w:rPr>
          <w:sz w:val="28"/>
          <w:szCs w:val="28"/>
        </w:rPr>
        <w:t>);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4F1">
        <w:rPr>
          <w:sz w:val="28"/>
          <w:szCs w:val="28"/>
        </w:rPr>
        <w:t>осуществляющие исключительно один или несколько из видов деятельности, определенных Правительством Республики Казахстан для целей применения данного режима</w:t>
      </w:r>
      <w:proofErr w:type="gramStart"/>
      <w:r w:rsidRPr="005B04F1">
        <w:rPr>
          <w:sz w:val="28"/>
          <w:szCs w:val="28"/>
        </w:rPr>
        <w:t>.;</w:t>
      </w:r>
      <w:proofErr w:type="gramEnd"/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4F1">
        <w:rPr>
          <w:sz w:val="28"/>
          <w:szCs w:val="28"/>
        </w:rPr>
        <w:t>признаются субъектами малого и среднего предпринимательства в соответствии с Предпринимательским кодексом РК.</w:t>
      </w:r>
    </w:p>
    <w:p w:rsidR="003B1958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 xml:space="preserve">Розничный налог включает в себя 2 вида налога: КПН </w:t>
      </w:r>
      <w:proofErr w:type="gramStart"/>
      <w:r w:rsidRPr="005B04F1">
        <w:rPr>
          <w:sz w:val="28"/>
          <w:szCs w:val="28"/>
        </w:rPr>
        <w:t>для</w:t>
      </w:r>
      <w:proofErr w:type="gramEnd"/>
      <w:r w:rsidRPr="005B04F1">
        <w:rPr>
          <w:sz w:val="28"/>
          <w:szCs w:val="28"/>
        </w:rPr>
        <w:t xml:space="preserve"> ЮЛ и ИПН для ИП (от социального налога освобождается).</w:t>
      </w:r>
      <w:r>
        <w:rPr>
          <w:sz w:val="28"/>
          <w:szCs w:val="28"/>
        </w:rPr>
        <w:t xml:space="preserve"> </w:t>
      </w:r>
    </w:p>
    <w:p w:rsidR="003B1958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>Ставки налога по КПН и ИПН, за исключением налогов, удерживаемых у источника выплаты:</w:t>
      </w:r>
      <w:r>
        <w:rPr>
          <w:sz w:val="28"/>
          <w:szCs w:val="28"/>
        </w:rPr>
        <w:t xml:space="preserve"> </w:t>
      </w:r>
      <w:r w:rsidRPr="005B04F1">
        <w:rPr>
          <w:sz w:val="28"/>
          <w:szCs w:val="28"/>
        </w:rPr>
        <w:t>4% по всем доходам, полученным (подлежащим получению) за налоговый период в Республике Казахстан и за ее пределами.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>При этом местные представительные органы имеют право понижать размер ставки розничного налога на 50 %, то есть от 4 % до 2%</w:t>
      </w:r>
      <w:r>
        <w:rPr>
          <w:sz w:val="28"/>
          <w:szCs w:val="28"/>
        </w:rPr>
        <w:t>.</w:t>
      </w:r>
    </w:p>
    <w:p w:rsidR="003B1958" w:rsidRDefault="003B1958" w:rsidP="003B1958">
      <w:pPr>
        <w:ind w:firstLine="708"/>
        <w:jc w:val="both"/>
        <w:rPr>
          <w:sz w:val="28"/>
          <w:szCs w:val="28"/>
          <w:lang w:val="kk-KZ"/>
        </w:rPr>
      </w:pPr>
    </w:p>
    <w:p w:rsidR="003B1958" w:rsidRDefault="003B1958" w:rsidP="003B1958">
      <w:pPr>
        <w:ind w:firstLine="708"/>
        <w:jc w:val="both"/>
        <w:rPr>
          <w:sz w:val="28"/>
          <w:szCs w:val="28"/>
          <w:lang w:val="kk-KZ"/>
        </w:rPr>
      </w:pPr>
    </w:p>
    <w:p w:rsidR="003B1958" w:rsidRPr="003B1958" w:rsidRDefault="003B1958" w:rsidP="003B1958">
      <w:pPr>
        <w:ind w:firstLine="708"/>
        <w:jc w:val="both"/>
        <w:rPr>
          <w:sz w:val="28"/>
          <w:szCs w:val="28"/>
          <w:lang w:val="kk-KZ"/>
        </w:rPr>
      </w:pP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lastRenderedPageBreak/>
        <w:t>8% по доходам, полученным от реализации товаров, выполнения работ, оказания услуг субъектам предпринимательства, в случае необходимости документального подтверждения сумм вычетов на такие расходы (с выпиской электронного счет</w:t>
      </w:r>
      <w:r w:rsidR="00CE78A6">
        <w:rPr>
          <w:sz w:val="28"/>
          <w:szCs w:val="28"/>
          <w:lang w:val="kk-KZ"/>
        </w:rPr>
        <w:t>а</w:t>
      </w:r>
      <w:r w:rsidRPr="005B04F1">
        <w:rPr>
          <w:sz w:val="28"/>
          <w:szCs w:val="28"/>
        </w:rPr>
        <w:t>-фактуры или выдачи чека с указанием ИИН/БИН покупателя). Размер данной ставки не подлежит снижению.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5B04F1">
        <w:rPr>
          <w:sz w:val="28"/>
          <w:szCs w:val="28"/>
        </w:rPr>
        <w:t xml:space="preserve"> в случае, если налогоплательщик, применяющий СНР розничного налога, выписывает </w:t>
      </w:r>
      <w:proofErr w:type="gramStart"/>
      <w:r w:rsidRPr="005B04F1">
        <w:rPr>
          <w:sz w:val="28"/>
          <w:szCs w:val="28"/>
        </w:rPr>
        <w:t>электронную</w:t>
      </w:r>
      <w:proofErr w:type="gramEnd"/>
      <w:r w:rsidRPr="005B04F1">
        <w:rPr>
          <w:sz w:val="28"/>
          <w:szCs w:val="28"/>
        </w:rPr>
        <w:t xml:space="preserve"> счет-фактуру покупателю для целей подтверждения им отнесения расходов на вычеты, такой доход подлежит обложению с применением ставки КПН/ИПН в размере 8%.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>В остальных случаях выписки электронного счета-фактуры, соответственно доход подлежит обложению с применением ставки КПН/ИПН в размере 4%.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proofErr w:type="gramStart"/>
      <w:r w:rsidRPr="005B04F1">
        <w:rPr>
          <w:sz w:val="28"/>
          <w:szCs w:val="28"/>
        </w:rPr>
        <w:t>Налогоплательщики, применяющие СНР розничного налога не являются</w:t>
      </w:r>
      <w:proofErr w:type="gramEnd"/>
      <w:r w:rsidRPr="005B04F1">
        <w:rPr>
          <w:sz w:val="28"/>
          <w:szCs w:val="28"/>
        </w:rPr>
        <w:t xml:space="preserve"> плательщиками социального налога и НДС, что освобождает их от постановки на учет по НДС.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 xml:space="preserve">По состоянию на 20.06.2023г. в </w:t>
      </w:r>
      <w:proofErr w:type="spellStart"/>
      <w:r w:rsidRPr="005B04F1">
        <w:rPr>
          <w:sz w:val="28"/>
          <w:szCs w:val="28"/>
        </w:rPr>
        <w:t>Алматинскую</w:t>
      </w:r>
      <w:proofErr w:type="spellEnd"/>
      <w:r w:rsidRPr="005B04F1">
        <w:rPr>
          <w:sz w:val="28"/>
          <w:szCs w:val="28"/>
        </w:rPr>
        <w:t xml:space="preserve"> область подано </w:t>
      </w:r>
      <w:r>
        <w:rPr>
          <w:sz w:val="28"/>
          <w:szCs w:val="28"/>
        </w:rPr>
        <w:t xml:space="preserve">                       </w:t>
      </w:r>
      <w:r w:rsidRPr="005B04F1">
        <w:rPr>
          <w:sz w:val="28"/>
          <w:szCs w:val="28"/>
        </w:rPr>
        <w:t>217 заявлений (30 ЮЛ и 187 ИП) о применении СНР розничного налога. Из них 88 НП представлены декларации ф.913.00 «Декларация для налогоплательщиков, применяющих СНР розничного налога», начислено налогов с начала текущего года 44,4 млн</w:t>
      </w:r>
      <w:proofErr w:type="gramStart"/>
      <w:r w:rsidRPr="005B04F1">
        <w:rPr>
          <w:sz w:val="28"/>
          <w:szCs w:val="28"/>
        </w:rPr>
        <w:t>.т</w:t>
      </w:r>
      <w:proofErr w:type="gramEnd"/>
      <w:r w:rsidRPr="005B04F1">
        <w:rPr>
          <w:sz w:val="28"/>
          <w:szCs w:val="28"/>
        </w:rPr>
        <w:t xml:space="preserve">енге (КПН, ИПН). В период с </w:t>
      </w:r>
      <w:r>
        <w:rPr>
          <w:sz w:val="28"/>
          <w:szCs w:val="28"/>
        </w:rPr>
        <w:t xml:space="preserve">                   </w:t>
      </w:r>
      <w:r w:rsidRPr="005B04F1">
        <w:rPr>
          <w:sz w:val="28"/>
          <w:szCs w:val="28"/>
        </w:rPr>
        <w:t xml:space="preserve">1 января 2020 года до 1 января 2023 года налогоплательщики имели освобождение от уплаты налогов, поэтому поступления данных налогов отсутствуют. 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 xml:space="preserve">Вместе с тем, в </w:t>
      </w:r>
      <w:proofErr w:type="spellStart"/>
      <w:r w:rsidRPr="005B04F1">
        <w:rPr>
          <w:sz w:val="28"/>
          <w:szCs w:val="28"/>
        </w:rPr>
        <w:t>Алматинской</w:t>
      </w:r>
      <w:proofErr w:type="spellEnd"/>
      <w:r w:rsidRPr="005B04F1">
        <w:rPr>
          <w:sz w:val="28"/>
          <w:szCs w:val="28"/>
        </w:rPr>
        <w:t xml:space="preserve"> области зарегистрировано 19 440 ЮЛ и 60 947 ИП, которые соответствуют условиям и вправе применять специальный налоговый р</w:t>
      </w:r>
      <w:r>
        <w:rPr>
          <w:sz w:val="28"/>
          <w:szCs w:val="28"/>
        </w:rPr>
        <w:t xml:space="preserve">ежим розничного налога. Из них </w:t>
      </w:r>
      <w:r w:rsidRPr="005B04F1">
        <w:rPr>
          <w:sz w:val="28"/>
          <w:szCs w:val="28"/>
        </w:rPr>
        <w:t>по 60 947 ИП доход по реализации за 2022 год составил всего 303 582,3 млн</w:t>
      </w:r>
      <w:proofErr w:type="gramStart"/>
      <w:r w:rsidRPr="005B04F1">
        <w:rPr>
          <w:sz w:val="28"/>
          <w:szCs w:val="28"/>
        </w:rPr>
        <w:t>.т</w:t>
      </w:r>
      <w:proofErr w:type="gramEnd"/>
      <w:r w:rsidRPr="005B04F1">
        <w:rPr>
          <w:sz w:val="28"/>
          <w:szCs w:val="28"/>
        </w:rPr>
        <w:t>енге, уплачено ИПН, СН 4,6 млн.тенге (освобождены от платы налогов на 3 года с 1 января 2020 года до 1 января 2023 года).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>В случае перехода вышеуказанных ИП на СНР розничного налога при соответствующем обороте поступит в бюджет ИПН 12 143,3 млн</w:t>
      </w:r>
      <w:proofErr w:type="gramStart"/>
      <w:r w:rsidRPr="005B04F1">
        <w:rPr>
          <w:sz w:val="28"/>
          <w:szCs w:val="28"/>
        </w:rPr>
        <w:t>.т</w:t>
      </w:r>
      <w:proofErr w:type="gramEnd"/>
      <w:r w:rsidRPr="005B04F1">
        <w:rPr>
          <w:sz w:val="28"/>
          <w:szCs w:val="28"/>
        </w:rPr>
        <w:t xml:space="preserve">енге (по ставке 4%). В случае снижения </w:t>
      </w:r>
      <w:proofErr w:type="spellStart"/>
      <w:r w:rsidRPr="005B04F1">
        <w:rPr>
          <w:sz w:val="28"/>
          <w:szCs w:val="28"/>
        </w:rPr>
        <w:t>Маслихатом</w:t>
      </w:r>
      <w:proofErr w:type="spellEnd"/>
      <w:r w:rsidRPr="005B04F1">
        <w:rPr>
          <w:sz w:val="28"/>
          <w:szCs w:val="28"/>
        </w:rPr>
        <w:t xml:space="preserve"> ставки ИПН на 50 % или до 2% в бюджет поступит 6 071,6 млн. тенге, что меньше в 2 раза.</w:t>
      </w:r>
    </w:p>
    <w:p w:rsidR="003B1958" w:rsidRDefault="003B1958" w:rsidP="003B1958">
      <w:pPr>
        <w:ind w:firstLine="708"/>
        <w:jc w:val="both"/>
        <w:rPr>
          <w:sz w:val="28"/>
          <w:szCs w:val="28"/>
        </w:rPr>
      </w:pPr>
      <w:r w:rsidRPr="005B04F1">
        <w:rPr>
          <w:sz w:val="28"/>
          <w:szCs w:val="28"/>
        </w:rPr>
        <w:t>На основании вышеизложенного, в момент становления нашей области полагаем, что снижение ставки нецелесообразно</w:t>
      </w:r>
      <w:r>
        <w:rPr>
          <w:sz w:val="28"/>
          <w:szCs w:val="28"/>
        </w:rPr>
        <w:t>,</w:t>
      </w:r>
      <w:r w:rsidRPr="005B04F1">
        <w:rPr>
          <w:sz w:val="28"/>
          <w:szCs w:val="28"/>
        </w:rPr>
        <w:t xml:space="preserve"> потому как перечень видов деятельности розничного налога увеличен. Таким образом, число налогоплательщиков являющиеся плательщиком НДС уменьшится, соответственно поступление по КБК 105101 сократятся. Аналогичная ситуация повлечет по поступлениям социального налога (КБК103101).</w:t>
      </w:r>
    </w:p>
    <w:p w:rsidR="003B1958" w:rsidRPr="005B04F1" w:rsidRDefault="003B1958" w:rsidP="003B1958">
      <w:pPr>
        <w:ind w:firstLine="708"/>
        <w:jc w:val="both"/>
        <w:rPr>
          <w:sz w:val="28"/>
          <w:szCs w:val="28"/>
        </w:rPr>
      </w:pPr>
    </w:p>
    <w:p w:rsidR="00FB307A" w:rsidRPr="003B1958" w:rsidRDefault="00FB307A" w:rsidP="00FB307A">
      <w:pPr>
        <w:ind w:firstLine="708"/>
        <w:jc w:val="both"/>
        <w:rPr>
          <w:sz w:val="28"/>
          <w:szCs w:val="28"/>
        </w:rPr>
      </w:pPr>
    </w:p>
    <w:p w:rsidR="007752E5" w:rsidRPr="00F83576" w:rsidRDefault="003B1958" w:rsidP="00040E4B">
      <w:pPr>
        <w:ind w:firstLine="708"/>
        <w:jc w:val="both"/>
        <w:rPr>
          <w:sz w:val="4"/>
          <w:szCs w:val="4"/>
          <w:lang w:val="kk-KZ"/>
        </w:rPr>
      </w:pPr>
      <w:r>
        <w:rPr>
          <w:b/>
          <w:sz w:val="28"/>
          <w:szCs w:val="28"/>
          <w:lang w:val="kk-KZ"/>
        </w:rPr>
        <w:t xml:space="preserve">Аким </w:t>
      </w:r>
      <w:r w:rsidR="00F83576">
        <w:rPr>
          <w:b/>
          <w:sz w:val="28"/>
          <w:szCs w:val="28"/>
          <w:lang w:val="kk-KZ"/>
        </w:rPr>
        <w:t>Алмат</w:t>
      </w:r>
      <w:r>
        <w:rPr>
          <w:b/>
          <w:sz w:val="28"/>
          <w:szCs w:val="28"/>
          <w:lang w:val="kk-KZ"/>
        </w:rPr>
        <w:t>инской области</w:t>
      </w:r>
      <w:r w:rsidR="001A13C1">
        <w:rPr>
          <w:b/>
          <w:sz w:val="28"/>
          <w:szCs w:val="28"/>
          <w:lang w:val="kk-KZ"/>
        </w:rPr>
        <w:t xml:space="preserve">               </w:t>
      </w:r>
      <w:r w:rsidR="002C1EAD">
        <w:rPr>
          <w:b/>
          <w:sz w:val="28"/>
          <w:szCs w:val="28"/>
          <w:lang w:val="kk-KZ"/>
        </w:rPr>
        <w:t xml:space="preserve">           </w:t>
      </w:r>
      <w:r w:rsidR="00040E4B">
        <w:rPr>
          <w:b/>
          <w:sz w:val="28"/>
          <w:szCs w:val="28"/>
          <w:lang w:val="kk-KZ"/>
        </w:rPr>
        <w:t xml:space="preserve">         С</w:t>
      </w:r>
      <w:r>
        <w:rPr>
          <w:b/>
          <w:sz w:val="28"/>
          <w:szCs w:val="28"/>
          <w:lang w:val="kk-KZ"/>
        </w:rPr>
        <w:t>у</w:t>
      </w:r>
      <w:r w:rsidR="00040E4B">
        <w:rPr>
          <w:b/>
          <w:sz w:val="28"/>
          <w:szCs w:val="28"/>
          <w:lang w:val="kk-KZ"/>
        </w:rPr>
        <w:t>лтан</w:t>
      </w:r>
      <w:r>
        <w:rPr>
          <w:b/>
          <w:sz w:val="28"/>
          <w:szCs w:val="28"/>
          <w:lang w:val="kk-KZ"/>
        </w:rPr>
        <w:t>г</w:t>
      </w:r>
      <w:r w:rsidR="00040E4B">
        <w:rPr>
          <w:b/>
          <w:sz w:val="28"/>
          <w:szCs w:val="28"/>
          <w:lang w:val="kk-KZ"/>
        </w:rPr>
        <w:t>азиев</w:t>
      </w:r>
      <w:r>
        <w:rPr>
          <w:b/>
          <w:sz w:val="28"/>
          <w:szCs w:val="28"/>
          <w:lang w:val="kk-KZ"/>
        </w:rPr>
        <w:t xml:space="preserve"> М.</w:t>
      </w:r>
    </w:p>
    <w:p w:rsidR="00D43CFF" w:rsidRPr="00F83576" w:rsidRDefault="00D43CFF" w:rsidP="007752E5">
      <w:pPr>
        <w:jc w:val="both"/>
        <w:rPr>
          <w:sz w:val="4"/>
          <w:szCs w:val="4"/>
          <w:lang w:val="kk-KZ"/>
        </w:rPr>
      </w:pPr>
    </w:p>
    <w:p w:rsidR="008A656A" w:rsidRPr="00F83576" w:rsidRDefault="008A656A" w:rsidP="007752E5">
      <w:pPr>
        <w:jc w:val="both"/>
        <w:rPr>
          <w:i/>
          <w:iCs/>
          <w:sz w:val="18"/>
          <w:szCs w:val="18"/>
          <w:lang w:val="kk-KZ"/>
        </w:rPr>
      </w:pPr>
      <w:bookmarkStart w:id="0" w:name="_GoBack"/>
      <w:bookmarkEnd w:id="0"/>
    </w:p>
    <w:p w:rsidR="00F06E4B" w:rsidRDefault="00F06E4B" w:rsidP="007752E5">
      <w:pPr>
        <w:jc w:val="both"/>
        <w:rPr>
          <w:i/>
          <w:iCs/>
          <w:sz w:val="18"/>
          <w:szCs w:val="18"/>
          <w:lang w:val="kk-KZ"/>
        </w:rPr>
      </w:pPr>
    </w:p>
    <w:p w:rsidR="00F06E4B" w:rsidRDefault="00F06E4B" w:rsidP="007752E5">
      <w:pPr>
        <w:jc w:val="both"/>
        <w:rPr>
          <w:i/>
          <w:iCs/>
          <w:sz w:val="18"/>
          <w:szCs w:val="18"/>
          <w:lang w:val="kk-KZ"/>
        </w:rPr>
      </w:pPr>
    </w:p>
    <w:p w:rsidR="00F06E4B" w:rsidRDefault="00F06E4B" w:rsidP="007752E5">
      <w:pPr>
        <w:jc w:val="both"/>
        <w:rPr>
          <w:i/>
          <w:iCs/>
          <w:sz w:val="18"/>
          <w:szCs w:val="18"/>
          <w:lang w:val="kk-KZ"/>
        </w:rPr>
      </w:pPr>
    </w:p>
    <w:p w:rsidR="002655B8" w:rsidRDefault="002655B8" w:rsidP="007752E5">
      <w:pPr>
        <w:jc w:val="both"/>
        <w:rPr>
          <w:i/>
          <w:iCs/>
          <w:sz w:val="18"/>
          <w:szCs w:val="18"/>
          <w:lang w:val="kk-KZ"/>
        </w:rPr>
      </w:pPr>
    </w:p>
    <w:p w:rsidR="003B1958" w:rsidRDefault="003B1958" w:rsidP="007752E5">
      <w:pPr>
        <w:jc w:val="both"/>
        <w:rPr>
          <w:i/>
          <w:iCs/>
          <w:sz w:val="18"/>
          <w:szCs w:val="18"/>
          <w:lang w:val="kk-KZ"/>
        </w:rPr>
      </w:pPr>
    </w:p>
    <w:p w:rsidR="007752E5" w:rsidRPr="00040E4B" w:rsidRDefault="0019697A" w:rsidP="007752E5">
      <w:pPr>
        <w:jc w:val="both"/>
        <w:rPr>
          <w:i/>
          <w:iCs/>
          <w:sz w:val="18"/>
          <w:szCs w:val="18"/>
          <w:lang w:val="kk-KZ"/>
        </w:rPr>
      </w:pPr>
      <w:r w:rsidRPr="00040E4B">
        <w:rPr>
          <w:i/>
          <w:iCs/>
          <w:sz w:val="18"/>
          <w:szCs w:val="18"/>
          <w:lang w:val="kk-KZ"/>
        </w:rPr>
        <w:t>и</w:t>
      </w:r>
      <w:r w:rsidR="00796875" w:rsidRPr="00040E4B">
        <w:rPr>
          <w:i/>
          <w:iCs/>
          <w:sz w:val="18"/>
          <w:szCs w:val="18"/>
          <w:lang w:val="kk-KZ"/>
        </w:rPr>
        <w:t>сп</w:t>
      </w:r>
      <w:r w:rsidR="00C65E36" w:rsidRPr="00040E4B">
        <w:rPr>
          <w:i/>
          <w:iCs/>
          <w:sz w:val="18"/>
          <w:szCs w:val="18"/>
          <w:lang w:val="kk-KZ"/>
        </w:rPr>
        <w:t>.</w:t>
      </w:r>
      <w:r w:rsidR="003B1958">
        <w:rPr>
          <w:i/>
          <w:iCs/>
          <w:sz w:val="18"/>
          <w:szCs w:val="18"/>
          <w:lang w:val="kk-KZ"/>
        </w:rPr>
        <w:t>К</w:t>
      </w:r>
      <w:r w:rsidR="00315C9C" w:rsidRPr="00040E4B">
        <w:rPr>
          <w:i/>
          <w:iCs/>
          <w:sz w:val="18"/>
          <w:szCs w:val="18"/>
          <w:lang w:val="kk-KZ"/>
        </w:rPr>
        <w:t>.</w:t>
      </w:r>
      <w:r w:rsidR="00040E4B" w:rsidRPr="00040E4B">
        <w:rPr>
          <w:i/>
          <w:iCs/>
          <w:sz w:val="18"/>
          <w:szCs w:val="18"/>
          <w:lang w:val="kk-KZ"/>
        </w:rPr>
        <w:t>Бахыт</w:t>
      </w:r>
      <w:r w:rsidR="003B1958">
        <w:rPr>
          <w:i/>
          <w:iCs/>
          <w:sz w:val="18"/>
          <w:szCs w:val="18"/>
          <w:lang w:val="kk-KZ"/>
        </w:rPr>
        <w:t>у</w:t>
      </w:r>
      <w:r w:rsidR="00040E4B" w:rsidRPr="00040E4B">
        <w:rPr>
          <w:i/>
          <w:iCs/>
          <w:sz w:val="18"/>
          <w:szCs w:val="18"/>
          <w:lang w:val="kk-KZ"/>
        </w:rPr>
        <w:t>лы</w:t>
      </w:r>
    </w:p>
    <w:p w:rsidR="004F5B90" w:rsidRPr="00040E4B" w:rsidRDefault="0019697A" w:rsidP="004F5B90">
      <w:pPr>
        <w:jc w:val="both"/>
        <w:rPr>
          <w:i/>
          <w:iCs/>
          <w:sz w:val="18"/>
          <w:szCs w:val="18"/>
          <w:lang w:val="kk-KZ"/>
        </w:rPr>
      </w:pPr>
      <w:r w:rsidRPr="00040E4B">
        <w:rPr>
          <w:i/>
          <w:iCs/>
          <w:sz w:val="18"/>
          <w:szCs w:val="18"/>
        </w:rPr>
        <w:t>т</w:t>
      </w:r>
      <w:r w:rsidR="007752E5" w:rsidRPr="00040E4B">
        <w:rPr>
          <w:i/>
          <w:iCs/>
          <w:sz w:val="18"/>
          <w:szCs w:val="18"/>
        </w:rPr>
        <w:t>ел. +</w:t>
      </w:r>
      <w:r w:rsidR="001A13C1" w:rsidRPr="00040E4B">
        <w:rPr>
          <w:i/>
          <w:iCs/>
          <w:sz w:val="18"/>
          <w:szCs w:val="18"/>
        </w:rPr>
        <w:t>7 </w:t>
      </w:r>
      <w:r w:rsidR="001A13C1" w:rsidRPr="00040E4B">
        <w:rPr>
          <w:i/>
          <w:iCs/>
          <w:sz w:val="18"/>
          <w:szCs w:val="18"/>
          <w:lang w:val="kk-KZ"/>
        </w:rPr>
        <w:t>/727-72/7-80-02</w:t>
      </w:r>
    </w:p>
    <w:p w:rsidR="002C1567" w:rsidRPr="00040E4B" w:rsidRDefault="002C1567" w:rsidP="002C1567">
      <w:pPr>
        <w:widowControl w:val="0"/>
        <w:pBdr>
          <w:bottom w:val="single" w:sz="4" w:space="29" w:color="FFFFFF"/>
        </w:pBdr>
        <w:jc w:val="both"/>
        <w:rPr>
          <w:i/>
          <w:sz w:val="18"/>
          <w:szCs w:val="18"/>
        </w:rPr>
      </w:pPr>
      <w:r w:rsidRPr="00040E4B">
        <w:rPr>
          <w:i/>
          <w:sz w:val="18"/>
          <w:szCs w:val="18"/>
          <w:lang w:val="kk-KZ"/>
        </w:rPr>
        <w:t>э</w:t>
      </w:r>
      <w:r w:rsidR="00DD2B8D" w:rsidRPr="00040E4B">
        <w:rPr>
          <w:i/>
          <w:sz w:val="18"/>
          <w:szCs w:val="18"/>
          <w:lang w:val="kk-KZ"/>
        </w:rPr>
        <w:t>л.</w:t>
      </w:r>
      <w:r w:rsidRPr="00040E4B">
        <w:rPr>
          <w:i/>
          <w:sz w:val="18"/>
          <w:szCs w:val="18"/>
          <w:lang w:val="kk-KZ"/>
        </w:rPr>
        <w:t xml:space="preserve"> почта </w:t>
      </w:r>
      <w:r w:rsidR="00B10B29" w:rsidRPr="00040E4B">
        <w:rPr>
          <w:i/>
          <w:sz w:val="18"/>
          <w:szCs w:val="18"/>
          <w:lang w:val="en-US"/>
        </w:rPr>
        <w:fldChar w:fldCharType="begin"/>
      </w:r>
      <w:r w:rsidRPr="00040E4B">
        <w:rPr>
          <w:i/>
          <w:sz w:val="18"/>
          <w:szCs w:val="18"/>
        </w:rPr>
        <w:instrText xml:space="preserve"> </w:instrText>
      </w:r>
      <w:r w:rsidRPr="00040E4B">
        <w:rPr>
          <w:i/>
          <w:sz w:val="18"/>
          <w:szCs w:val="18"/>
          <w:lang w:val="en-US"/>
        </w:rPr>
        <w:instrText>HYPERLINK</w:instrText>
      </w:r>
      <w:r w:rsidRPr="00040E4B">
        <w:rPr>
          <w:i/>
          <w:sz w:val="18"/>
          <w:szCs w:val="18"/>
        </w:rPr>
        <w:instrText xml:space="preserve"> "</w:instrText>
      </w:r>
      <w:r w:rsidRPr="00040E4B">
        <w:rPr>
          <w:i/>
          <w:sz w:val="18"/>
          <w:szCs w:val="18"/>
          <w:lang w:val="en-US"/>
        </w:rPr>
        <w:instrText>mailto</w:instrText>
      </w:r>
      <w:r w:rsidRPr="00040E4B">
        <w:rPr>
          <w:i/>
          <w:sz w:val="18"/>
          <w:szCs w:val="18"/>
        </w:rPr>
        <w:instrText>:</w:instrText>
      </w:r>
      <w:r w:rsidRPr="00040E4B">
        <w:rPr>
          <w:i/>
          <w:sz w:val="18"/>
          <w:szCs w:val="18"/>
          <w:lang w:val="en-US"/>
        </w:rPr>
        <w:instrText>invest</w:instrText>
      </w:r>
      <w:r w:rsidRPr="00040E4B">
        <w:rPr>
          <w:i/>
          <w:sz w:val="18"/>
          <w:szCs w:val="18"/>
        </w:rPr>
        <w:instrText>_</w:instrText>
      </w:r>
      <w:r w:rsidRPr="00040E4B">
        <w:rPr>
          <w:i/>
          <w:sz w:val="18"/>
          <w:szCs w:val="18"/>
          <w:lang w:val="en-US"/>
        </w:rPr>
        <w:instrText>dpp</w:instrText>
      </w:r>
      <w:r w:rsidRPr="00040E4B">
        <w:rPr>
          <w:i/>
          <w:sz w:val="18"/>
          <w:szCs w:val="18"/>
        </w:rPr>
        <w:instrText>@</w:instrText>
      </w:r>
      <w:r w:rsidRPr="00040E4B">
        <w:rPr>
          <w:i/>
          <w:sz w:val="18"/>
          <w:szCs w:val="18"/>
          <w:lang w:val="en-US"/>
        </w:rPr>
        <w:instrText>mail</w:instrText>
      </w:r>
      <w:r w:rsidRPr="00040E4B">
        <w:rPr>
          <w:i/>
          <w:sz w:val="18"/>
          <w:szCs w:val="18"/>
        </w:rPr>
        <w:instrText>.</w:instrText>
      </w:r>
      <w:r w:rsidRPr="00040E4B">
        <w:rPr>
          <w:i/>
          <w:sz w:val="18"/>
          <w:szCs w:val="18"/>
          <w:lang w:val="en-US"/>
        </w:rPr>
        <w:instrText>ru</w:instrText>
      </w:r>
      <w:r w:rsidRPr="00040E4B">
        <w:rPr>
          <w:i/>
          <w:sz w:val="18"/>
          <w:szCs w:val="18"/>
        </w:rPr>
        <w:instrText xml:space="preserve">" </w:instrText>
      </w:r>
      <w:r w:rsidR="00B10B29" w:rsidRPr="00040E4B">
        <w:rPr>
          <w:i/>
          <w:sz w:val="18"/>
          <w:szCs w:val="18"/>
          <w:lang w:val="en-US"/>
        </w:rPr>
        <w:fldChar w:fldCharType="separate"/>
      </w:r>
      <w:r w:rsidRPr="00040E4B">
        <w:rPr>
          <w:rStyle w:val="a7"/>
          <w:i/>
          <w:sz w:val="18"/>
          <w:szCs w:val="18"/>
          <w:u w:val="none"/>
          <w:lang w:val="en-US"/>
        </w:rPr>
        <w:t>invest</w:t>
      </w:r>
      <w:r w:rsidRPr="00040E4B">
        <w:rPr>
          <w:rStyle w:val="a7"/>
          <w:i/>
          <w:sz w:val="18"/>
          <w:szCs w:val="18"/>
          <w:u w:val="none"/>
        </w:rPr>
        <w:t>_</w:t>
      </w:r>
      <w:r w:rsidRPr="00040E4B">
        <w:rPr>
          <w:rStyle w:val="a7"/>
          <w:i/>
          <w:sz w:val="18"/>
          <w:szCs w:val="18"/>
          <w:u w:val="none"/>
          <w:lang w:val="en-US"/>
        </w:rPr>
        <w:t>dpp</w:t>
      </w:r>
      <w:r w:rsidRPr="00040E4B">
        <w:rPr>
          <w:rStyle w:val="a7"/>
          <w:i/>
          <w:sz w:val="18"/>
          <w:szCs w:val="18"/>
          <w:u w:val="none"/>
        </w:rPr>
        <w:t>@</w:t>
      </w:r>
      <w:r w:rsidRPr="00040E4B">
        <w:rPr>
          <w:rStyle w:val="a7"/>
          <w:i/>
          <w:sz w:val="18"/>
          <w:szCs w:val="18"/>
          <w:u w:val="none"/>
          <w:lang w:val="en-US"/>
        </w:rPr>
        <w:t>mail</w:t>
      </w:r>
      <w:r w:rsidRPr="00040E4B">
        <w:rPr>
          <w:rStyle w:val="a7"/>
          <w:i/>
          <w:sz w:val="18"/>
          <w:szCs w:val="18"/>
          <w:u w:val="none"/>
        </w:rPr>
        <w:t>.</w:t>
      </w:r>
      <w:proofErr w:type="spellStart"/>
      <w:r w:rsidRPr="00040E4B">
        <w:rPr>
          <w:rStyle w:val="a7"/>
          <w:i/>
          <w:sz w:val="18"/>
          <w:szCs w:val="18"/>
          <w:u w:val="none"/>
          <w:lang w:val="en-US"/>
        </w:rPr>
        <w:t>ru</w:t>
      </w:r>
      <w:proofErr w:type="spellEnd"/>
      <w:r w:rsidR="00B10B29" w:rsidRPr="00040E4B">
        <w:rPr>
          <w:i/>
          <w:sz w:val="18"/>
          <w:szCs w:val="18"/>
          <w:lang w:val="en-US"/>
        </w:rPr>
        <w:fldChar w:fldCharType="end"/>
      </w:r>
      <w:r w:rsidRPr="00040E4B">
        <w:rPr>
          <w:i/>
          <w:sz w:val="18"/>
          <w:szCs w:val="18"/>
        </w:rPr>
        <w:t xml:space="preserve"> </w:t>
      </w:r>
    </w:p>
    <w:sectPr w:rsidR="002C1567" w:rsidRPr="00040E4B" w:rsidSect="000C4B6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16F03"/>
    <w:multiLevelType w:val="hybridMultilevel"/>
    <w:tmpl w:val="078E2F02"/>
    <w:lvl w:ilvl="0" w:tplc="B64AD48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2A6F67"/>
    <w:multiLevelType w:val="hybridMultilevel"/>
    <w:tmpl w:val="2AFEDB90"/>
    <w:lvl w:ilvl="0" w:tplc="862603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25C4C"/>
    <w:rsid w:val="0000318C"/>
    <w:rsid w:val="00040E4B"/>
    <w:rsid w:val="0004194C"/>
    <w:rsid w:val="000423BE"/>
    <w:rsid w:val="00060679"/>
    <w:rsid w:val="000704A9"/>
    <w:rsid w:val="00070D80"/>
    <w:rsid w:val="000949FC"/>
    <w:rsid w:val="000A2D0E"/>
    <w:rsid w:val="000C03BF"/>
    <w:rsid w:val="000C4B67"/>
    <w:rsid w:val="000D556A"/>
    <w:rsid w:val="000F1EEF"/>
    <w:rsid w:val="000F2ADC"/>
    <w:rsid w:val="00120F05"/>
    <w:rsid w:val="00145F6F"/>
    <w:rsid w:val="00161811"/>
    <w:rsid w:val="00181A64"/>
    <w:rsid w:val="00187470"/>
    <w:rsid w:val="0019697A"/>
    <w:rsid w:val="001A13C1"/>
    <w:rsid w:val="001B0F35"/>
    <w:rsid w:val="001C7F81"/>
    <w:rsid w:val="001E00FB"/>
    <w:rsid w:val="001E201F"/>
    <w:rsid w:val="001F2F7E"/>
    <w:rsid w:val="001F4BDF"/>
    <w:rsid w:val="00201355"/>
    <w:rsid w:val="00222281"/>
    <w:rsid w:val="00255D7D"/>
    <w:rsid w:val="002655B8"/>
    <w:rsid w:val="002765FE"/>
    <w:rsid w:val="002B4809"/>
    <w:rsid w:val="002B4DBD"/>
    <w:rsid w:val="002B6147"/>
    <w:rsid w:val="002C1270"/>
    <w:rsid w:val="002C1567"/>
    <w:rsid w:val="002C1EAD"/>
    <w:rsid w:val="00315C9C"/>
    <w:rsid w:val="00334858"/>
    <w:rsid w:val="00353102"/>
    <w:rsid w:val="00353658"/>
    <w:rsid w:val="00363286"/>
    <w:rsid w:val="00380477"/>
    <w:rsid w:val="00385377"/>
    <w:rsid w:val="00393741"/>
    <w:rsid w:val="003A79F4"/>
    <w:rsid w:val="003B1958"/>
    <w:rsid w:val="00413530"/>
    <w:rsid w:val="004578E6"/>
    <w:rsid w:val="0046771F"/>
    <w:rsid w:val="0048366C"/>
    <w:rsid w:val="004A755B"/>
    <w:rsid w:val="004D364D"/>
    <w:rsid w:val="004D753D"/>
    <w:rsid w:val="004E4065"/>
    <w:rsid w:val="004F4ADC"/>
    <w:rsid w:val="004F5B90"/>
    <w:rsid w:val="00513F12"/>
    <w:rsid w:val="005246DC"/>
    <w:rsid w:val="005511C0"/>
    <w:rsid w:val="0056108E"/>
    <w:rsid w:val="00562546"/>
    <w:rsid w:val="00565BD2"/>
    <w:rsid w:val="005A0B35"/>
    <w:rsid w:val="005B65E0"/>
    <w:rsid w:val="0060582E"/>
    <w:rsid w:val="00611AFD"/>
    <w:rsid w:val="006137DE"/>
    <w:rsid w:val="0064579B"/>
    <w:rsid w:val="00662C4B"/>
    <w:rsid w:val="00680729"/>
    <w:rsid w:val="00691C85"/>
    <w:rsid w:val="006A7AD9"/>
    <w:rsid w:val="006B1824"/>
    <w:rsid w:val="006C2281"/>
    <w:rsid w:val="006D609E"/>
    <w:rsid w:val="006F2FB6"/>
    <w:rsid w:val="00710AAF"/>
    <w:rsid w:val="00717D03"/>
    <w:rsid w:val="00721BAF"/>
    <w:rsid w:val="00766BFE"/>
    <w:rsid w:val="007752E5"/>
    <w:rsid w:val="00775CDD"/>
    <w:rsid w:val="00781579"/>
    <w:rsid w:val="007904FF"/>
    <w:rsid w:val="00794988"/>
    <w:rsid w:val="00796875"/>
    <w:rsid w:val="007B4295"/>
    <w:rsid w:val="007F2AA9"/>
    <w:rsid w:val="007F4ED8"/>
    <w:rsid w:val="008234DE"/>
    <w:rsid w:val="00852DAC"/>
    <w:rsid w:val="00853425"/>
    <w:rsid w:val="008726CA"/>
    <w:rsid w:val="00897164"/>
    <w:rsid w:val="008A656A"/>
    <w:rsid w:val="008B2BF2"/>
    <w:rsid w:val="008C1FE8"/>
    <w:rsid w:val="008F6F6C"/>
    <w:rsid w:val="00915AB9"/>
    <w:rsid w:val="009240C1"/>
    <w:rsid w:val="009265E5"/>
    <w:rsid w:val="0093419B"/>
    <w:rsid w:val="00936890"/>
    <w:rsid w:val="0095058D"/>
    <w:rsid w:val="00973243"/>
    <w:rsid w:val="009E00FD"/>
    <w:rsid w:val="009F34AE"/>
    <w:rsid w:val="009F7EB2"/>
    <w:rsid w:val="00A01D11"/>
    <w:rsid w:val="00A36999"/>
    <w:rsid w:val="00A439B9"/>
    <w:rsid w:val="00A56F2B"/>
    <w:rsid w:val="00A94930"/>
    <w:rsid w:val="00AB7767"/>
    <w:rsid w:val="00B10B29"/>
    <w:rsid w:val="00B26571"/>
    <w:rsid w:val="00BB62D0"/>
    <w:rsid w:val="00BD4B80"/>
    <w:rsid w:val="00BD65BA"/>
    <w:rsid w:val="00C05AA3"/>
    <w:rsid w:val="00C65E36"/>
    <w:rsid w:val="00C739AA"/>
    <w:rsid w:val="00C92896"/>
    <w:rsid w:val="00CA76F6"/>
    <w:rsid w:val="00CB60AB"/>
    <w:rsid w:val="00CD7C76"/>
    <w:rsid w:val="00CE2ADF"/>
    <w:rsid w:val="00CE78A6"/>
    <w:rsid w:val="00D03D5A"/>
    <w:rsid w:val="00D0706D"/>
    <w:rsid w:val="00D25C4C"/>
    <w:rsid w:val="00D339B5"/>
    <w:rsid w:val="00D43214"/>
    <w:rsid w:val="00D43CFF"/>
    <w:rsid w:val="00D8540E"/>
    <w:rsid w:val="00DA2078"/>
    <w:rsid w:val="00DC7F14"/>
    <w:rsid w:val="00DD2B8D"/>
    <w:rsid w:val="00DE0439"/>
    <w:rsid w:val="00DF0402"/>
    <w:rsid w:val="00E068B8"/>
    <w:rsid w:val="00E12B2D"/>
    <w:rsid w:val="00E16474"/>
    <w:rsid w:val="00E23E84"/>
    <w:rsid w:val="00E27E46"/>
    <w:rsid w:val="00E317CB"/>
    <w:rsid w:val="00E67FD9"/>
    <w:rsid w:val="00E748D5"/>
    <w:rsid w:val="00E75227"/>
    <w:rsid w:val="00EA1123"/>
    <w:rsid w:val="00EA390B"/>
    <w:rsid w:val="00ED3350"/>
    <w:rsid w:val="00EE4E57"/>
    <w:rsid w:val="00F06E4B"/>
    <w:rsid w:val="00F33C30"/>
    <w:rsid w:val="00F5290D"/>
    <w:rsid w:val="00F83576"/>
    <w:rsid w:val="00FB307A"/>
    <w:rsid w:val="00FC02EF"/>
    <w:rsid w:val="00FD4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7F4E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"/>
    <w:basedOn w:val="a"/>
    <w:autoRedefine/>
    <w:rsid w:val="00D25C4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3">
    <w:name w:val="Знак Знак Знак Знак Знак Знак Знак Знак"/>
    <w:basedOn w:val="a"/>
    <w:autoRedefine/>
    <w:rsid w:val="00EA112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4">
    <w:name w:val="Знак"/>
    <w:basedOn w:val="a"/>
    <w:autoRedefine/>
    <w:rsid w:val="004F4AD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List Paragraph"/>
    <w:basedOn w:val="a"/>
    <w:uiPriority w:val="34"/>
    <w:qFormat/>
    <w:rsid w:val="00FC02EF"/>
    <w:pPr>
      <w:ind w:left="720"/>
      <w:contextualSpacing/>
    </w:pPr>
  </w:style>
  <w:style w:type="paragraph" w:styleId="a6">
    <w:name w:val="No Spacing"/>
    <w:uiPriority w:val="1"/>
    <w:qFormat/>
    <w:rsid w:val="007F2A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7F2AA9"/>
    <w:rPr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9"/>
    <w:rsid w:val="007F4E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53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21B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7F4E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"/>
    <w:basedOn w:val="a"/>
    <w:autoRedefine/>
    <w:rsid w:val="00D25C4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3">
    <w:name w:val="Знак Знак Знак Знак Знак Знак Знак Знак"/>
    <w:basedOn w:val="a"/>
    <w:autoRedefine/>
    <w:rsid w:val="00EA112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4">
    <w:name w:val="Знак"/>
    <w:basedOn w:val="a"/>
    <w:autoRedefine/>
    <w:rsid w:val="004F4AD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List Paragraph"/>
    <w:basedOn w:val="a"/>
    <w:uiPriority w:val="34"/>
    <w:qFormat/>
    <w:rsid w:val="00FC02EF"/>
    <w:pPr>
      <w:ind w:left="720"/>
      <w:contextualSpacing/>
    </w:pPr>
  </w:style>
  <w:style w:type="paragraph" w:styleId="a6">
    <w:name w:val="No Spacing"/>
    <w:uiPriority w:val="1"/>
    <w:qFormat/>
    <w:rsid w:val="007F2A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7F2AA9"/>
    <w:rPr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9"/>
    <w:rsid w:val="007F4E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53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21B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8B8F-EC9A-4D92-AFDF-D50B3F0C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SPKDRGP8.User</dc:creator>
  <cp:lastModifiedBy>Алмас</cp:lastModifiedBy>
  <cp:revision>48</cp:revision>
  <cp:lastPrinted>2023-07-01T13:52:00Z</cp:lastPrinted>
  <dcterms:created xsi:type="dcterms:W3CDTF">2023-02-23T14:35:00Z</dcterms:created>
  <dcterms:modified xsi:type="dcterms:W3CDTF">2023-07-05T09:38:00Z</dcterms:modified>
</cp:coreProperties>
</file>