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374A8B" w:rsidP="00374A8B">
      <w:pPr>
        <w:spacing w:after="0" w:line="240" w:lineRule="auto"/>
        <w:ind w:left="5103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74A8B" w:rsidRPr="00374A8B" w:rsidP="00374A8B">
      <w:pPr>
        <w:spacing w:after="0" w:line="240" w:lineRule="auto"/>
        <w:ind w:left="5103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74A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Депутатам</w:t>
      </w:r>
    </w:p>
    <w:p w:rsidR="00374A8B" w:rsidRPr="00374A8B" w:rsidP="00374A8B">
      <w:pPr>
        <w:spacing w:after="0" w:line="240" w:lineRule="auto"/>
        <w:ind w:left="5103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74A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Мажилиса Парламента</w:t>
      </w:r>
    </w:p>
    <w:p w:rsidR="00374A8B" w:rsidRPr="00374A8B" w:rsidP="00374A8B">
      <w:pPr>
        <w:spacing w:after="0" w:line="240" w:lineRule="auto"/>
        <w:ind w:left="5103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74A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Республики Казахстан</w:t>
      </w:r>
    </w:p>
    <w:p w:rsidR="00374A8B" w:rsidRPr="00720377" w:rsidP="00720377">
      <w:pPr>
        <w:shd w:val="clear" w:color="auto" w:fill="FFFFFF"/>
        <w:spacing w:after="0" w:line="240" w:lineRule="auto"/>
        <w:ind w:left="4536"/>
        <w:rPr>
          <w:rFonts w:ascii="Times New Roman" w:eastAsia="Times New Roman" w:hAnsi="Times New Roman" w:cs="Times New Roman"/>
          <w:bCs/>
          <w:i/>
          <w:sz w:val="24"/>
          <w:szCs w:val="28"/>
          <w:lang w:eastAsia="ru-RU"/>
        </w:rPr>
      </w:pPr>
      <w:r w:rsidRPr="00720377">
        <w:rPr>
          <w:rFonts w:ascii="Times New Roman" w:eastAsia="Times New Roman" w:hAnsi="Times New Roman" w:cs="Times New Roman"/>
          <w:bCs/>
          <w:i/>
          <w:sz w:val="24"/>
          <w:szCs w:val="28"/>
          <w:lang w:eastAsia="ru-RU"/>
        </w:rPr>
        <w:t>(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Турганов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Д.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Калыков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А.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720377" w:rsidR="007203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Пономарев С.</w:t>
      </w:r>
      <w:r w:rsidRPr="00720377">
        <w:rPr>
          <w:rFonts w:ascii="Times New Roman" w:eastAsia="Times New Roman" w:hAnsi="Times New Roman" w:cs="Times New Roman"/>
          <w:bCs/>
          <w:i/>
          <w:sz w:val="24"/>
          <w:szCs w:val="28"/>
          <w:lang w:eastAsia="ru-RU"/>
        </w:rPr>
        <w:t>)</w:t>
      </w:r>
    </w:p>
    <w:p w:rsidR="00374A8B" w:rsidRPr="00374A8B" w:rsidP="00374A8B">
      <w:pPr>
        <w:spacing w:after="0" w:line="240" w:lineRule="auto"/>
        <w:ind w:left="5103"/>
        <w:contextualSpacing/>
        <w:jc w:val="center"/>
        <w:rPr>
          <w:rFonts w:ascii="Times New Roman" w:eastAsia="Times New Roman" w:hAnsi="Times New Roman" w:cs="Times New Roman"/>
          <w:bCs/>
          <w:i/>
          <w:sz w:val="24"/>
          <w:szCs w:val="28"/>
          <w:lang w:eastAsia="ru-RU"/>
        </w:rPr>
      </w:pPr>
    </w:p>
    <w:p w:rsidR="00374A8B" w:rsidRPr="00374A8B" w:rsidP="00374A8B">
      <w:pPr>
        <w:shd w:val="clear" w:color="auto" w:fill="FFFFFF"/>
        <w:tabs>
          <w:tab w:val="left" w:pos="1114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zh-CN"/>
        </w:rPr>
      </w:pPr>
      <w:r w:rsidRPr="00374A8B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zh-CN"/>
        </w:rPr>
        <w:t>На № ДЗ-252 от 13 июня 2024 года</w:t>
      </w:r>
    </w:p>
    <w:p w:rsidR="00374A8B" w:rsidRPr="00374A8B" w:rsidP="00374A8B">
      <w:pPr>
        <w:shd w:val="clear" w:color="auto" w:fill="FFFFFF"/>
        <w:tabs>
          <w:tab w:val="left" w:pos="1114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:rsidR="00374A8B" w:rsidRPr="00374A8B" w:rsidP="00374A8B">
      <w:pPr>
        <w:shd w:val="clear" w:color="auto" w:fill="FFFFFF"/>
        <w:tabs>
          <w:tab w:val="left" w:pos="1114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374A8B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Уважаемые депутаты!</w:t>
      </w:r>
    </w:p>
    <w:p w:rsidR="00374A8B" w:rsidRPr="00374A8B" w:rsidP="00374A8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12"/>
          <w:szCs w:val="28"/>
          <w:lang w:eastAsia="zh-CN"/>
        </w:rPr>
      </w:pPr>
    </w:p>
    <w:p w:rsidR="00374A8B" w:rsidRPr="00374A8B" w:rsidP="00374A8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12"/>
          <w:szCs w:val="28"/>
          <w:lang w:eastAsia="zh-CN"/>
        </w:rPr>
      </w:pPr>
    </w:p>
    <w:p w:rsidR="00374A8B" w:rsidRPr="00374A8B" w:rsidP="00374A8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4A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Рассмотрев Ваш запрос касательно подготовки </w:t>
      </w:r>
      <w:r w:rsidR="006D083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 </w:t>
      </w:r>
      <w:r w:rsidR="006D0839">
        <w:rPr>
          <w:rFonts w:ascii="Times New Roman" w:eastAsia="Calibri" w:hAnsi="Times New Roman" w:cs="Times New Roman"/>
          <w:sz w:val="28"/>
          <w:szCs w:val="28"/>
        </w:rPr>
        <w:t>отопительному сезону</w:t>
      </w:r>
      <w:r w:rsidRPr="00374A8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сообщаю следующее.</w:t>
      </w:r>
    </w:p>
    <w:p w:rsidR="003D66C8" w:rsidRPr="003D66C8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Pr="00374A8B">
        <w:rPr>
          <w:rFonts w:ascii="Times New Roman" w:eastAsia="Calibri" w:hAnsi="Times New Roman" w:cs="Times New Roman"/>
          <w:sz w:val="28"/>
          <w:szCs w:val="28"/>
        </w:rPr>
        <w:t>огласно пункту 29 Правил технической эксплуатаци</w:t>
      </w:r>
      <w:r w:rsidR="006D0839">
        <w:rPr>
          <w:rFonts w:ascii="Times New Roman" w:eastAsia="Calibri" w:hAnsi="Times New Roman" w:cs="Times New Roman"/>
          <w:sz w:val="28"/>
          <w:szCs w:val="28"/>
        </w:rPr>
        <w:t>и электрических станций и сетей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D66C8">
        <w:rPr>
          <w:rFonts w:ascii="Times New Roman" w:eastAsia="Calibri" w:hAnsi="Times New Roman" w:cs="Times New Roman"/>
          <w:sz w:val="28"/>
          <w:szCs w:val="28"/>
        </w:rPr>
        <w:t xml:space="preserve">периодичность и продолжительность всех видов ремонта устанавливаются в инструкциях, утверждаемых техническим руководителем организации, на ремонт данного вида оборудования. </w:t>
      </w: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>В соответствии с утвержденным Системным оператором графиком ремонтов на электрических станциях в 2</w:t>
      </w:r>
      <w:r w:rsidR="003D66C8">
        <w:rPr>
          <w:rFonts w:ascii="Times New Roman" w:eastAsia="Calibri" w:hAnsi="Times New Roman" w:cs="Times New Roman"/>
          <w:sz w:val="28"/>
          <w:szCs w:val="28"/>
        </w:rPr>
        <w:t xml:space="preserve">024 году запланированы ремонты </w:t>
      </w:r>
      <w:r w:rsidR="00B9778F">
        <w:rPr>
          <w:rFonts w:ascii="Times New Roman" w:eastAsia="Calibri" w:hAnsi="Times New Roman" w:cs="Times New Roman"/>
          <w:sz w:val="28"/>
          <w:szCs w:val="28"/>
        </w:rPr>
        <w:br/>
      </w:r>
      <w:r w:rsidR="003D66C8">
        <w:rPr>
          <w:rFonts w:ascii="Times New Roman" w:eastAsia="Calibri" w:hAnsi="Times New Roman" w:cs="Times New Roman"/>
          <w:sz w:val="28"/>
          <w:szCs w:val="28"/>
        </w:rPr>
        <w:t>10 энергоблоков,</w:t>
      </w:r>
      <w:r w:rsidR="00B9778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74A8B">
        <w:rPr>
          <w:rFonts w:ascii="Times New Roman" w:eastAsia="Calibri" w:hAnsi="Times New Roman" w:cs="Times New Roman"/>
          <w:sz w:val="28"/>
          <w:szCs w:val="28"/>
        </w:rPr>
        <w:t>55 котлов и 45 т</w:t>
      </w:r>
      <w:r w:rsidR="006D0839">
        <w:rPr>
          <w:rFonts w:ascii="Times New Roman" w:eastAsia="Calibri" w:hAnsi="Times New Roman" w:cs="Times New Roman"/>
          <w:sz w:val="28"/>
          <w:szCs w:val="28"/>
        </w:rPr>
        <w:t>урбин. На разных стадиях ремонт веде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тся на </w:t>
      </w:r>
      <w:r w:rsidR="00B9778F">
        <w:rPr>
          <w:rFonts w:ascii="Times New Roman" w:eastAsia="Calibri" w:hAnsi="Times New Roman" w:cs="Times New Roman"/>
          <w:sz w:val="28"/>
          <w:szCs w:val="28"/>
        </w:rPr>
        <w:br/>
      </w:r>
      <w:r w:rsidRPr="00374A8B">
        <w:rPr>
          <w:rFonts w:ascii="Times New Roman" w:eastAsia="Calibri" w:hAnsi="Times New Roman" w:cs="Times New Roman"/>
          <w:sz w:val="28"/>
          <w:szCs w:val="28"/>
        </w:rPr>
        <w:t>3-х э</w:t>
      </w:r>
      <w:r w:rsidR="003D66C8">
        <w:rPr>
          <w:rFonts w:ascii="Times New Roman" w:eastAsia="Calibri" w:hAnsi="Times New Roman" w:cs="Times New Roman"/>
          <w:sz w:val="28"/>
          <w:szCs w:val="28"/>
        </w:rPr>
        <w:t>нергоблоках,</w:t>
      </w:r>
      <w:r w:rsidR="00B9778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74A8B">
        <w:rPr>
          <w:rFonts w:ascii="Times New Roman" w:eastAsia="Calibri" w:hAnsi="Times New Roman" w:cs="Times New Roman"/>
          <w:sz w:val="28"/>
          <w:szCs w:val="28"/>
        </w:rPr>
        <w:t>32-х котлах и 16-</w:t>
      </w:r>
      <w:r w:rsidR="006D0839">
        <w:rPr>
          <w:rFonts w:ascii="Times New Roman" w:eastAsia="Calibri" w:hAnsi="Times New Roman" w:cs="Times New Roman"/>
          <w:sz w:val="28"/>
          <w:szCs w:val="28"/>
        </w:rPr>
        <w:t>ти турбинах. Уже завершен ремонт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r w:rsidR="00B9778F">
        <w:rPr>
          <w:rFonts w:ascii="Times New Roman" w:eastAsia="Calibri" w:hAnsi="Times New Roman" w:cs="Times New Roman"/>
          <w:sz w:val="28"/>
          <w:szCs w:val="28"/>
        </w:rPr>
        <w:br/>
      </w:r>
      <w:r w:rsidRPr="00374A8B">
        <w:rPr>
          <w:rFonts w:ascii="Times New Roman" w:eastAsia="Calibri" w:hAnsi="Times New Roman" w:cs="Times New Roman"/>
          <w:sz w:val="28"/>
          <w:szCs w:val="28"/>
        </w:rPr>
        <w:t>1 энергоблоке, 6-</w:t>
      </w:r>
      <w:r w:rsidR="006D0839">
        <w:rPr>
          <w:rFonts w:ascii="Times New Roman" w:eastAsia="Calibri" w:hAnsi="Times New Roman" w:cs="Times New Roman"/>
          <w:sz w:val="28"/>
          <w:szCs w:val="28"/>
        </w:rPr>
        <w:t>т</w:t>
      </w:r>
      <w:r w:rsidRPr="00374A8B">
        <w:rPr>
          <w:rFonts w:ascii="Times New Roman" w:eastAsia="Calibri" w:hAnsi="Times New Roman" w:cs="Times New Roman"/>
          <w:sz w:val="28"/>
          <w:szCs w:val="28"/>
        </w:rPr>
        <w:t>и котлах и 9-</w:t>
      </w:r>
      <w:r w:rsidR="006D0839">
        <w:rPr>
          <w:rFonts w:ascii="Times New Roman" w:eastAsia="Calibri" w:hAnsi="Times New Roman" w:cs="Times New Roman"/>
          <w:sz w:val="28"/>
          <w:szCs w:val="28"/>
        </w:rPr>
        <w:t>т</w:t>
      </w:r>
      <w:r w:rsidRPr="00374A8B">
        <w:rPr>
          <w:rFonts w:ascii="Times New Roman" w:eastAsia="Calibri" w:hAnsi="Times New Roman" w:cs="Times New Roman"/>
          <w:sz w:val="28"/>
          <w:szCs w:val="28"/>
        </w:rPr>
        <w:t>и турбинах.</w:t>
      </w: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Ежегодно по ряду основного оборудования электрических станций </w:t>
      </w:r>
      <w:r w:rsidRPr="003D66C8">
        <w:rPr>
          <w:rFonts w:ascii="Times New Roman" w:eastAsia="Calibri" w:hAnsi="Times New Roman" w:cs="Times New Roman"/>
          <w:i/>
          <w:sz w:val="24"/>
          <w:szCs w:val="28"/>
        </w:rPr>
        <w:t>(энергоблоков, котлов, турбин)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по разным причинам корректируется график ремонтов. Это связано в основном с увеличением срока поставки необходимых материалов, увеличением объема ремонтных работ при дефектовке, аварийным выходом в ремонт аналогичного оборудования, не позволяющим одновременно производить плановый ремонт.</w:t>
      </w:r>
    </w:p>
    <w:p w:rsidR="00374A8B" w:rsidRPr="003D66C8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3D66C8">
        <w:rPr>
          <w:rFonts w:ascii="Times New Roman" w:eastAsia="Calibri" w:hAnsi="Times New Roman" w:cs="Times New Roman"/>
          <w:b/>
          <w:i/>
          <w:sz w:val="24"/>
          <w:szCs w:val="28"/>
          <w:u w:val="single"/>
        </w:rPr>
        <w:t>Справочно</w:t>
      </w:r>
      <w:r w:rsidRPr="00B9778F">
        <w:rPr>
          <w:rFonts w:ascii="Times New Roman" w:eastAsia="Calibri" w:hAnsi="Times New Roman" w:cs="Times New Roman"/>
          <w:b/>
          <w:i/>
          <w:sz w:val="24"/>
          <w:szCs w:val="28"/>
        </w:rPr>
        <w:t>:</w:t>
      </w:r>
      <w:r w:rsidRPr="00B9778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D66C8" w:rsidR="003D66C8">
        <w:rPr>
          <w:rFonts w:ascii="Times New Roman" w:eastAsia="Calibri" w:hAnsi="Times New Roman" w:cs="Times New Roman"/>
          <w:i/>
          <w:sz w:val="24"/>
          <w:szCs w:val="28"/>
        </w:rPr>
        <w:t>р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асширенно-текущий ремонт котла №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 xml:space="preserve"> 7 ТОО «МАЭК» ТЭЦ-2 начат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B9778F">
        <w:rPr>
          <w:rFonts w:ascii="Times New Roman" w:eastAsia="Calibri" w:hAnsi="Times New Roman" w:cs="Times New Roman"/>
          <w:i/>
          <w:sz w:val="24"/>
          <w:szCs w:val="24"/>
        </w:rPr>
        <w:br/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1 июля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т.г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  <w:r w:rsidR="00B9778F">
        <w:rPr>
          <w:rFonts w:ascii="Times New Roman" w:eastAsia="Calibri" w:hAnsi="Times New Roman" w:cs="Times New Roman"/>
          <w:i/>
          <w:sz w:val="24"/>
          <w:szCs w:val="24"/>
        </w:rPr>
        <w:t>Н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а ТЭЦ-2 АО «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Qarmet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» проводится расширенно-текущий ремонт до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 xml:space="preserve"> сентября 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>т.г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>. В ТОО «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>Согринская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ТЭЦ» ремонт турбины №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 xml:space="preserve"> 1 начат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1 июля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т.г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. Это связано с выявлением дополнительного объема работ на турбине № 2. На сегодняшний день на энергоблоке №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2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ТОО «МАЭК» ТЭС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>»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завершен капитальный ремонт. Ремонт не повлиял на</w:t>
      </w:r>
      <w:r w:rsidR="003D66C8">
        <w:rPr>
          <w:rFonts w:ascii="Times New Roman" w:eastAsia="Calibri" w:hAnsi="Times New Roman" w:cs="Times New Roman"/>
          <w:i/>
          <w:sz w:val="24"/>
          <w:szCs w:val="24"/>
        </w:rPr>
        <w:t xml:space="preserve"> отопительный сезон 2023-2024 г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г. Также на котле №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3 ТОО «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Степногорская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ТЭЦ» завершен расширенно-текущий ремонт. На ТЭЦ-5 ГКП «Кентау Сервис» на реконструкции находятся котлы № 8 и 11, планируемое завершение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 xml:space="preserve"> -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август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т.г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. На текущий момент работы по демонтажу каркаса на котлах № 9 и 10 завершены, начались ремонты по монтажу, планируемое завершение 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декабрь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т.г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B9778F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>Подготовка к отопительному сезону, в том числе вопросы переноса сроков ремонтов на теплоисточниках</w:t>
      </w:r>
      <w:r w:rsidR="003D66C8">
        <w:rPr>
          <w:rFonts w:ascii="Times New Roman" w:eastAsia="Calibri" w:hAnsi="Times New Roman" w:cs="Times New Roman"/>
          <w:sz w:val="28"/>
          <w:szCs w:val="28"/>
        </w:rPr>
        <w:t>,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рассмотре</w:t>
      </w:r>
      <w:r w:rsidR="003D66C8">
        <w:rPr>
          <w:rFonts w:ascii="Times New Roman" w:eastAsia="Calibri" w:hAnsi="Times New Roman" w:cs="Times New Roman"/>
          <w:sz w:val="28"/>
          <w:szCs w:val="28"/>
        </w:rPr>
        <w:t>ны на заседаниях Правительства, по результатам которых ответственным государственным органам и организациям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даны </w:t>
      </w:r>
      <w:r w:rsidR="003D66C8">
        <w:rPr>
          <w:rFonts w:ascii="Times New Roman" w:eastAsia="Calibri" w:hAnsi="Times New Roman" w:cs="Times New Roman"/>
          <w:sz w:val="28"/>
          <w:szCs w:val="28"/>
        </w:rPr>
        <w:t xml:space="preserve">конкретные </w:t>
      </w:r>
      <w:r w:rsidRPr="00374A8B">
        <w:rPr>
          <w:rFonts w:ascii="Times New Roman" w:eastAsia="Calibri" w:hAnsi="Times New Roman" w:cs="Times New Roman"/>
          <w:sz w:val="28"/>
          <w:szCs w:val="28"/>
        </w:rPr>
        <w:t>поручения.</w:t>
      </w: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Также рассмотрены вопросы по задолженности </w:t>
      </w:r>
      <w:r w:rsidRPr="00374A8B">
        <w:rPr>
          <w:rFonts w:ascii="Times New Roman" w:eastAsia="Calibri" w:hAnsi="Times New Roman" w:cs="Times New Roman"/>
          <w:sz w:val="28"/>
          <w:szCs w:val="28"/>
        </w:rPr>
        <w:t>энергопроизводящих</w:t>
      </w:r>
      <w:r w:rsidR="006D0839">
        <w:rPr>
          <w:rFonts w:ascii="Times New Roman" w:eastAsia="Calibri" w:hAnsi="Times New Roman" w:cs="Times New Roman"/>
          <w:sz w:val="28"/>
          <w:szCs w:val="28"/>
        </w:rPr>
        <w:t xml:space="preserve"> предприятий и составлен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график погашения кредиторской задолженности. </w:t>
      </w:r>
      <w:r w:rsidR="00B9778F">
        <w:rPr>
          <w:rFonts w:ascii="Times New Roman" w:eastAsia="Calibri" w:hAnsi="Times New Roman" w:cs="Times New Roman"/>
          <w:sz w:val="28"/>
          <w:szCs w:val="28"/>
        </w:rPr>
        <w:br/>
      </w:r>
      <w:r w:rsidRPr="00374A8B">
        <w:rPr>
          <w:rFonts w:ascii="Times New Roman" w:eastAsia="Calibri" w:hAnsi="Times New Roman" w:cs="Times New Roman"/>
          <w:sz w:val="28"/>
          <w:szCs w:val="28"/>
        </w:rPr>
        <w:t>В настоящее время долги перед АО «</w:t>
      </w:r>
      <w:r w:rsidRPr="00374A8B">
        <w:rPr>
          <w:rFonts w:ascii="Times New Roman" w:eastAsia="Calibri" w:hAnsi="Times New Roman" w:cs="Times New Roman"/>
          <w:sz w:val="28"/>
          <w:szCs w:val="28"/>
        </w:rPr>
        <w:t>Qazaq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74A8B">
        <w:rPr>
          <w:rFonts w:ascii="Times New Roman" w:eastAsia="Calibri" w:hAnsi="Times New Roman" w:cs="Times New Roman"/>
          <w:sz w:val="28"/>
          <w:szCs w:val="28"/>
        </w:rPr>
        <w:t>Gaz-Aimaq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» снижены на 2 млрд тенге, ТОО «Богатырь – </w:t>
      </w:r>
      <w:r w:rsidRPr="00374A8B">
        <w:rPr>
          <w:rFonts w:ascii="Times New Roman" w:eastAsia="Calibri" w:hAnsi="Times New Roman" w:cs="Times New Roman"/>
          <w:sz w:val="28"/>
          <w:szCs w:val="28"/>
        </w:rPr>
        <w:t>Комир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6D0839">
        <w:rPr>
          <w:rFonts w:ascii="Times New Roman" w:eastAsia="Calibri" w:hAnsi="Times New Roman" w:cs="Times New Roman"/>
          <w:sz w:val="28"/>
          <w:szCs w:val="28"/>
        </w:rPr>
        <w:t>- на 400 млн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тенге. Работа в данном направлении продолжается.</w:t>
      </w:r>
    </w:p>
    <w:p w:rsidR="003D66C8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целях системного решения поднимаемых вопросов Правительством разработан проект Закона Республики Казахстан «О теплоэнергетике» </w:t>
      </w:r>
      <w:r w:rsidRPr="00BA1870">
        <w:rPr>
          <w:rFonts w:ascii="Times New Roman" w:eastAsia="Calibri" w:hAnsi="Times New Roman" w:cs="Times New Roman"/>
          <w:i/>
          <w:sz w:val="24"/>
          <w:szCs w:val="28"/>
        </w:rPr>
        <w:t>(далее – законопроект)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D66C8" w:rsidRPr="00374A8B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Законопроектом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устанавливаются принципы законодательного и государственного регулирования отрасли теплоэнергетики. Также закрепляются компетенции Правительства, уполномоченного органа, государственных и местных исполнительных и представительных органов в области теплоэнергетики, права и обязанности субъектов теплоснабжения и потребителей тепловой энергии.</w:t>
      </w:r>
    </w:p>
    <w:p w:rsidR="003D66C8" w:rsidRPr="00374A8B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Депутатами внесены поправки, направленные на усиление государственного энергетического контроля в области теплоэнергетики. Вводятся дистанционный контроль, плановые и внеплановые проверки, проведение расследований. За субъектами теплоснабжения закрепляется обязанность по своевременному информированию собственников имущества </w:t>
      </w:r>
      <w:r w:rsidRPr="00374A8B">
        <w:rPr>
          <w:rFonts w:ascii="Times New Roman" w:eastAsia="Calibri" w:hAnsi="Times New Roman" w:cs="Times New Roman"/>
          <w:sz w:val="28"/>
          <w:szCs w:val="28"/>
        </w:rPr>
        <w:t>теплопроизводящего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374A8B">
        <w:rPr>
          <w:rFonts w:ascii="Times New Roman" w:eastAsia="Calibri" w:hAnsi="Times New Roman" w:cs="Times New Roman"/>
          <w:sz w:val="28"/>
          <w:szCs w:val="28"/>
        </w:rPr>
        <w:t>теплотранспортирующего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субъекта и иных заинтересованных лиц о необходимости его ремонта, реконструкции, модернизации или замены.</w:t>
      </w:r>
    </w:p>
    <w:p w:rsidR="003D66C8" w:rsidRPr="00374A8B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В рамках </w:t>
      </w:r>
      <w:r>
        <w:rPr>
          <w:rFonts w:ascii="Times New Roman" w:eastAsia="Calibri" w:hAnsi="Times New Roman" w:cs="Times New Roman"/>
          <w:sz w:val="28"/>
          <w:szCs w:val="28"/>
        </w:rPr>
        <w:t>законопроекта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 предусмотрено повышение ответственности субъектов энергокомплекса за нарушение требований законодательства и нецелевое использование средств, в т.ч. путем увеличения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размера </w:t>
      </w:r>
      <w:r w:rsidRPr="00374A8B">
        <w:rPr>
          <w:rFonts w:ascii="Times New Roman" w:eastAsia="Calibri" w:hAnsi="Times New Roman" w:cs="Times New Roman"/>
          <w:sz w:val="28"/>
          <w:szCs w:val="28"/>
        </w:rPr>
        <w:t>административных штрафов в Кодекс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6D0839">
        <w:rPr>
          <w:rFonts w:ascii="Times New Roman" w:eastAsia="Calibri" w:hAnsi="Times New Roman" w:cs="Times New Roman"/>
          <w:sz w:val="28"/>
          <w:szCs w:val="28"/>
        </w:rPr>
        <w:t xml:space="preserve"> о</w:t>
      </w:r>
      <w:r w:rsidRPr="00374A8B">
        <w:rPr>
          <w:rFonts w:ascii="Times New Roman" w:eastAsia="Calibri" w:hAnsi="Times New Roman" w:cs="Times New Roman"/>
          <w:sz w:val="28"/>
          <w:szCs w:val="28"/>
        </w:rPr>
        <w:t>б а</w:t>
      </w:r>
      <w:r w:rsidR="006D0839">
        <w:rPr>
          <w:rFonts w:ascii="Times New Roman" w:eastAsia="Calibri" w:hAnsi="Times New Roman" w:cs="Times New Roman"/>
          <w:sz w:val="28"/>
          <w:szCs w:val="28"/>
        </w:rPr>
        <w:t>дминистративных правонарушениях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D66C8" w:rsidRPr="00374A8B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D66C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Справочно</w:t>
      </w:r>
      <w:r w:rsidRPr="003D66C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: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ри нарушении требований правил организации технического обслуживания и ремонта оборудования, зданий и сооружений электростанций, тепловых и электрических сетей предусмотрен ад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>министративный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штраф на должностных лиц в размере 180 </w:t>
      </w:r>
      <w:r w:rsidR="006D0839">
        <w:rPr>
          <w:rFonts w:ascii="Times New Roman" w:eastAsia="Calibri" w:hAnsi="Times New Roman" w:cs="Times New Roman"/>
          <w:i/>
          <w:sz w:val="24"/>
          <w:szCs w:val="24"/>
        </w:rPr>
        <w:t>месячных расчетных показателей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. За не</w:t>
      </w:r>
      <w:r w:rsidR="00E614E5">
        <w:rPr>
          <w:rFonts w:ascii="Times New Roman" w:eastAsia="Calibri" w:hAnsi="Times New Roman" w:cs="Times New Roman"/>
          <w:i/>
          <w:sz w:val="24"/>
          <w:szCs w:val="24"/>
        </w:rPr>
        <w:t xml:space="preserve">соблюдение требований нормативных 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>правовых актов в сфере электроэнергетики</w:t>
      </w:r>
      <w:r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в том числе нарушение срока получения паспорта готовности, несоблюдение нормы эксплуатационного запаса топлива</w:t>
      </w:r>
      <w:r w:rsidR="00E614E5"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 предусмотрен администрати</w:t>
      </w:r>
      <w:r w:rsidR="00E614E5">
        <w:rPr>
          <w:rFonts w:ascii="Times New Roman" w:eastAsia="Calibri" w:hAnsi="Times New Roman" w:cs="Times New Roman"/>
          <w:i/>
          <w:sz w:val="24"/>
          <w:szCs w:val="24"/>
        </w:rPr>
        <w:t>вный штраф в размере 300-500 месячных расчетных показателей</w:t>
      </w:r>
      <w:r w:rsidRPr="00374A8B">
        <w:rPr>
          <w:rFonts w:ascii="Times New Roman" w:eastAsia="Calibri" w:hAnsi="Times New Roman" w:cs="Times New Roman"/>
          <w:i/>
          <w:sz w:val="24"/>
          <w:szCs w:val="24"/>
        </w:rPr>
        <w:t xml:space="preserve">.  </w:t>
      </w:r>
    </w:p>
    <w:p w:rsidR="00374A8B" w:rsidRPr="00374A8B" w:rsidP="003D66C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Мажилис Парламента принял </w:t>
      </w:r>
      <w:r w:rsidR="00BA1870">
        <w:rPr>
          <w:rFonts w:ascii="Times New Roman" w:eastAsia="Calibri" w:hAnsi="Times New Roman" w:cs="Times New Roman"/>
          <w:sz w:val="28"/>
          <w:szCs w:val="28"/>
        </w:rPr>
        <w:t xml:space="preserve">законопроект </w:t>
      </w:r>
      <w:r w:rsidRPr="00374A8B">
        <w:rPr>
          <w:rFonts w:ascii="Times New Roman" w:eastAsia="Calibri" w:hAnsi="Times New Roman" w:cs="Times New Roman"/>
          <w:sz w:val="28"/>
          <w:szCs w:val="28"/>
        </w:rPr>
        <w:t>во втором чтении</w:t>
      </w:r>
      <w:r w:rsidR="00BA187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с сопутствующими ему поправками. </w:t>
      </w: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A8B">
        <w:rPr>
          <w:rFonts w:ascii="Times New Roman" w:eastAsia="Calibri" w:hAnsi="Times New Roman" w:cs="Times New Roman"/>
          <w:sz w:val="28"/>
          <w:szCs w:val="28"/>
        </w:rPr>
        <w:t xml:space="preserve">Вопрос подготовки к отопительному сезону находится на особом контроле Правительства.  </w:t>
      </w: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74A8B" w:rsidRPr="00374A8B" w:rsidP="0037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74A8B" w:rsidRPr="00664CDA" w:rsidP="00374A8B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374A8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О. </w:t>
      </w:r>
      <w:r w:rsidRPr="00374A8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Бектенов</w:t>
      </w:r>
    </w:p>
    <w:p w:rsidR="00B9778F" w:rsidRPr="00374A8B" w:rsidP="00B977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Sect="00B9778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851" w:bottom="1134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3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3D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3D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923DC" w:rsidRPr="002923DC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15.07.2024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2923DC" w:rsidRPr="002923DC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15.07.2024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3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91608965"/>
      <w:docPartObj>
        <w:docPartGallery w:val="Page Numbers (Top of Page)"/>
        <w:docPartUnique/>
      </w:docPartObj>
    </w:sdtPr>
    <w:sdtContent>
      <w:p w:rsidR="0082792F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05E1">
          <w:rPr>
            <w:noProof/>
          </w:rPr>
          <w:t>3</w:t>
        </w:r>
        <w:r>
          <w:fldChar w:fldCharType="end"/>
        </w:r>
      </w:p>
    </w:sdtContent>
  </w:sdt>
  <w:p w:rsidR="0082792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7E2" w:rsidRPr="001E77E2">
    <w:pPr>
      <w:pStyle w:val="Header"/>
      <w:rPr>
        <w:lang w:val="en-US"/>
      </w:rPr>
    </w:pPr>
    <w:r>
      <w:rPr>
        <w:noProof/>
        <w:lang w:eastAsia="ru-RU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11-12/3006 дз   от: 15.07.2024"/>
        </v:shape>
      </w:pict>
    </w:r>
    <w:r w:rsidR="00E31790">
      <w:rPr>
        <w:noProof/>
        <w:lang w:eastAsia="ru-RU"/>
      </w:rPr>
      <w:drawing>
        <wp:inline distT="0" distB="0" distL="0" distR="0">
          <wp:extent cx="6477000" cy="1895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279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