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B04EFF" w:rsidRPr="003B1448" w:rsidP="00B04EFF">
      <w:pPr>
        <w:pStyle w:val="NoSpacing"/>
        <w:ind w:left="717" w:right="-2" w:firstLine="1"/>
        <w:jc w:val="right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:rsidR="00B04EFF" w:rsidRPr="003B1448" w:rsidP="00B04EFF">
      <w:pPr>
        <w:pStyle w:val="NoSpacing"/>
        <w:ind w:left="717" w:right="990" w:firstLine="1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04EFF" w:rsidRPr="003B1448" w:rsidP="00B04EFF">
      <w:pPr>
        <w:pStyle w:val="NoSpacing"/>
        <w:ind w:left="717" w:right="990" w:firstLine="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                    </w:t>
      </w:r>
      <w:r w:rsidR="00800FC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538B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800FC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3B1448">
        <w:rPr>
          <w:rFonts w:ascii="Times New Roman" w:hAnsi="Times New Roman" w:cs="Times New Roman"/>
          <w:b/>
          <w:sz w:val="28"/>
          <w:szCs w:val="28"/>
          <w:lang w:val="ru-RU"/>
        </w:rPr>
        <w:t>Депутатам</w:t>
      </w:r>
    </w:p>
    <w:p w:rsidR="00B04EFF" w:rsidRPr="003B1448" w:rsidP="00B04EFF">
      <w:pPr>
        <w:widowControl w:val="0"/>
        <w:ind w:left="8505" w:hanging="3542"/>
        <w:jc w:val="center"/>
        <w:rPr>
          <w:b/>
          <w:sz w:val="28"/>
          <w:szCs w:val="28"/>
        </w:rPr>
      </w:pPr>
      <w:r w:rsidRPr="003B1448">
        <w:rPr>
          <w:b/>
          <w:sz w:val="28"/>
          <w:szCs w:val="28"/>
        </w:rPr>
        <w:t xml:space="preserve">                    Мажилиса Парламента</w:t>
      </w:r>
    </w:p>
    <w:p w:rsidR="00B04EFF" w:rsidRPr="003B1448" w:rsidP="00B04EFF">
      <w:pPr>
        <w:widowControl w:val="0"/>
        <w:ind w:left="8505" w:hanging="3542"/>
        <w:jc w:val="center"/>
        <w:rPr>
          <w:b/>
          <w:sz w:val="28"/>
          <w:szCs w:val="28"/>
        </w:rPr>
      </w:pPr>
      <w:r w:rsidRPr="003B1448">
        <w:rPr>
          <w:b/>
          <w:sz w:val="28"/>
          <w:szCs w:val="28"/>
        </w:rPr>
        <w:t xml:space="preserve">                    Республики Казахстан</w:t>
      </w:r>
    </w:p>
    <w:p w:rsidR="00B04EFF" w:rsidRPr="003B1448" w:rsidP="00B04EFF">
      <w:pPr>
        <w:widowControl w:val="0"/>
        <w:ind w:left="6237"/>
        <w:rPr>
          <w:sz w:val="22"/>
          <w:szCs w:val="28"/>
        </w:rPr>
      </w:pPr>
    </w:p>
    <w:p w:rsidR="00B04EFF" w:rsidRPr="003B1448" w:rsidP="00B04EFF">
      <w:pPr>
        <w:widowControl w:val="0"/>
        <w:rPr>
          <w:i/>
          <w:szCs w:val="28"/>
        </w:rPr>
      </w:pPr>
      <w:r w:rsidRPr="003B1448">
        <w:rPr>
          <w:i/>
          <w:szCs w:val="28"/>
        </w:rPr>
        <w:t>На № ДЗ-238 от 31 мая 2024 года</w:t>
      </w:r>
    </w:p>
    <w:p w:rsidR="00B04EFF" w:rsidRPr="003B1448" w:rsidP="00B04EFF">
      <w:pPr>
        <w:widowControl w:val="0"/>
        <w:ind w:firstLine="709"/>
        <w:jc w:val="center"/>
        <w:rPr>
          <w:b/>
          <w:sz w:val="22"/>
          <w:szCs w:val="28"/>
        </w:rPr>
      </w:pPr>
    </w:p>
    <w:p w:rsidR="00B04EFF" w:rsidRPr="003B1448" w:rsidP="00B04EFF">
      <w:pPr>
        <w:widowControl w:val="0"/>
        <w:ind w:firstLine="709"/>
        <w:jc w:val="center"/>
        <w:rPr>
          <w:b/>
          <w:sz w:val="28"/>
          <w:szCs w:val="28"/>
        </w:rPr>
      </w:pPr>
      <w:r w:rsidRPr="003B1448">
        <w:rPr>
          <w:b/>
          <w:sz w:val="28"/>
          <w:szCs w:val="28"/>
        </w:rPr>
        <w:t>Уважаемые депутаты!</w:t>
      </w:r>
    </w:p>
    <w:p w:rsidR="00B04EFF" w:rsidRPr="003B1448" w:rsidP="00B04EFF">
      <w:pPr>
        <w:widowControl w:val="0"/>
        <w:tabs>
          <w:tab w:val="left" w:pos="426"/>
          <w:tab w:val="left" w:pos="567"/>
        </w:tabs>
        <w:jc w:val="both"/>
        <w:rPr>
          <w:sz w:val="22"/>
          <w:szCs w:val="28"/>
        </w:rPr>
      </w:pPr>
    </w:p>
    <w:p w:rsidR="00B04EFF" w:rsidRPr="003B1448" w:rsidP="00B04EFF">
      <w:pPr>
        <w:widowControl w:val="0"/>
        <w:tabs>
          <w:tab w:val="left" w:pos="426"/>
          <w:tab w:val="left" w:pos="567"/>
        </w:tabs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>Рассмотрев ваш депутатский запрос, сообщаю следующее.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 xml:space="preserve">С декабря 2022 года по настоящее время продолжается работа по проверке деятельности ТОО «МФО «Эверест </w:t>
      </w:r>
      <w:r w:rsidRPr="003B1448">
        <w:rPr>
          <w:sz w:val="28"/>
          <w:szCs w:val="28"/>
        </w:rPr>
        <w:t>Финанс</w:t>
      </w:r>
      <w:r w:rsidRPr="003B1448">
        <w:rPr>
          <w:sz w:val="28"/>
          <w:szCs w:val="28"/>
        </w:rPr>
        <w:t xml:space="preserve">» </w:t>
      </w:r>
      <w:r w:rsidRPr="003B1448">
        <w:rPr>
          <w:i/>
          <w:szCs w:val="28"/>
        </w:rPr>
        <w:t>(далее – МФО)</w:t>
      </w:r>
      <w:r w:rsidRPr="003B1448">
        <w:rPr>
          <w:sz w:val="28"/>
          <w:szCs w:val="28"/>
        </w:rPr>
        <w:t xml:space="preserve"> на предмет правильности расчетов задолженности заемщиков с учетом ограничений и требований </w:t>
      </w:r>
      <w:r w:rsidRPr="003B1448">
        <w:rPr>
          <w:sz w:val="28"/>
          <w:szCs w:val="28"/>
        </w:rPr>
        <w:t>закондательства</w:t>
      </w:r>
      <w:r w:rsidRPr="003B1448">
        <w:rPr>
          <w:sz w:val="28"/>
          <w:szCs w:val="28"/>
        </w:rPr>
        <w:t xml:space="preserve"> о микрофинансовой деятельности.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>Так, 23 декабря 2022 года МФО</w:t>
      </w:r>
      <w:r w:rsidRPr="003B1448">
        <w:rPr>
          <w:i/>
          <w:iCs/>
        </w:rPr>
        <w:t xml:space="preserve"> </w:t>
      </w:r>
      <w:r w:rsidRPr="003B1448">
        <w:rPr>
          <w:sz w:val="28"/>
          <w:szCs w:val="28"/>
        </w:rPr>
        <w:t xml:space="preserve">лишена лицензии на осуществление микрофинансовой деятельности за систематические нарушения требований законодательства </w:t>
      </w:r>
      <w:r w:rsidRPr="003B1448">
        <w:rPr>
          <w:i/>
          <w:iCs/>
        </w:rPr>
        <w:t>(3 и более раза в течение 12 последовательных календарных месяцев)</w:t>
      </w:r>
      <w:r w:rsidRPr="003B1448">
        <w:rPr>
          <w:sz w:val="28"/>
          <w:szCs w:val="28"/>
        </w:rPr>
        <w:t>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 xml:space="preserve">В соответствии с Законом о микрофинансовой деятельности, 19 января </w:t>
      </w:r>
      <w:r w:rsidR="00DB442E">
        <w:rPr>
          <w:sz w:val="28"/>
          <w:szCs w:val="28"/>
        </w:rPr>
        <w:br/>
      </w:r>
      <w:r w:rsidRPr="003B1448">
        <w:rPr>
          <w:sz w:val="28"/>
          <w:szCs w:val="28"/>
        </w:rPr>
        <w:t xml:space="preserve">2023 года МФО осуществила государственную </w:t>
      </w:r>
      <w:r w:rsidRPr="003B1448">
        <w:rPr>
          <w:sz w:val="28"/>
          <w:szCs w:val="28"/>
        </w:rPr>
        <w:t>перегистрацию</w:t>
      </w:r>
      <w:r w:rsidRPr="003B1448">
        <w:rPr>
          <w:sz w:val="28"/>
          <w:szCs w:val="28"/>
        </w:rPr>
        <w:t xml:space="preserve"> в ТОО «Эверест </w:t>
      </w:r>
      <w:r w:rsidRPr="003B1448">
        <w:rPr>
          <w:sz w:val="28"/>
          <w:szCs w:val="28"/>
        </w:rPr>
        <w:t>Финанс</w:t>
      </w:r>
      <w:r w:rsidRPr="003B1448">
        <w:rPr>
          <w:sz w:val="28"/>
          <w:szCs w:val="28"/>
        </w:rPr>
        <w:t>»</w:t>
      </w:r>
      <w:r w:rsidRPr="003B1448">
        <w:rPr>
          <w:b/>
          <w:sz w:val="28"/>
          <w:szCs w:val="28"/>
        </w:rPr>
        <w:t xml:space="preserve"> </w:t>
      </w:r>
      <w:r w:rsidRPr="003B1448">
        <w:rPr>
          <w:i/>
          <w:szCs w:val="28"/>
        </w:rPr>
        <w:t>(далее - ТОО)</w:t>
      </w:r>
      <w:r w:rsidRPr="003B1448">
        <w:rPr>
          <w:sz w:val="28"/>
          <w:szCs w:val="28"/>
        </w:rPr>
        <w:t>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 xml:space="preserve">В целях защиты прав граждан, имеющих обязательства перед ТОО, Агентство по регулированию и развитию финансового рынка </w:t>
      </w:r>
      <w:r w:rsidRPr="003B1448">
        <w:rPr>
          <w:i/>
          <w:szCs w:val="28"/>
        </w:rPr>
        <w:t>(далее - Агентство)</w:t>
      </w:r>
      <w:r w:rsidRPr="003B1448">
        <w:rPr>
          <w:szCs w:val="28"/>
        </w:rPr>
        <w:t xml:space="preserve"> </w:t>
      </w:r>
      <w:r w:rsidRPr="003B1448">
        <w:rPr>
          <w:sz w:val="28"/>
          <w:szCs w:val="28"/>
        </w:rPr>
        <w:t xml:space="preserve">обратилось в Прокуратуру района </w:t>
      </w:r>
      <w:r w:rsidRPr="003B1448">
        <w:rPr>
          <w:sz w:val="28"/>
          <w:szCs w:val="28"/>
        </w:rPr>
        <w:t>Казыбек</w:t>
      </w:r>
      <w:r w:rsidRPr="003B1448">
        <w:rPr>
          <w:sz w:val="28"/>
          <w:szCs w:val="28"/>
        </w:rPr>
        <w:t xml:space="preserve"> би</w:t>
      </w:r>
      <w:r>
        <w:rPr>
          <w:sz w:val="28"/>
          <w:szCs w:val="28"/>
        </w:rPr>
        <w:t xml:space="preserve"> г. Караганды и Генеральную п</w:t>
      </w:r>
      <w:r w:rsidRPr="003B1448">
        <w:rPr>
          <w:sz w:val="28"/>
          <w:szCs w:val="28"/>
        </w:rPr>
        <w:t xml:space="preserve">рокуратуру с предложением инициировать проверку законности действий ТОО при взыскании задолженности с участием специалистов Агентства. 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 xml:space="preserve">На основании неоднократных обращений со стороны Агентства, </w:t>
      </w:r>
      <w:r w:rsidRPr="003B1448">
        <w:rPr>
          <w:sz w:val="28"/>
          <w:szCs w:val="28"/>
        </w:rPr>
        <w:br/>
        <w:t xml:space="preserve">14 февраля </w:t>
      </w:r>
      <w:r w:rsidRPr="003B1448">
        <w:rPr>
          <w:sz w:val="28"/>
          <w:szCs w:val="28"/>
        </w:rPr>
        <w:t>т.г</w:t>
      </w:r>
      <w:r w:rsidRPr="003B1448">
        <w:rPr>
          <w:sz w:val="28"/>
          <w:szCs w:val="28"/>
        </w:rPr>
        <w:t>. Генеральной прокуратурой совместно с Агентством начата проверка деятельности ТОО на предмет соблюдения требований законов, регулирующих микрофинансовую деятельность, налогового и гражданского кодексов.</w:t>
      </w:r>
    </w:p>
    <w:p w:rsidR="00B04EFF" w:rsidRPr="003B1448" w:rsidP="00B04EFF">
      <w:pPr>
        <w:ind w:firstLine="709"/>
        <w:jc w:val="both"/>
        <w:rPr>
          <w:i/>
          <w:iCs/>
        </w:rPr>
      </w:pPr>
      <w:r w:rsidRPr="003B1448">
        <w:rPr>
          <w:sz w:val="28"/>
          <w:szCs w:val="28"/>
        </w:rPr>
        <w:t xml:space="preserve">Необходимо отметить, что ранее проверкой Агентства выборочно были охвачены только договоры о предоставлении микрокредитов </w:t>
      </w:r>
      <w:r w:rsidRPr="003B1448">
        <w:rPr>
          <w:i/>
          <w:iCs/>
        </w:rPr>
        <w:t>(в рамках обращений граждан).</w:t>
      </w:r>
    </w:p>
    <w:p w:rsidR="00B04EFF" w:rsidP="00B04EFF">
      <w:pPr>
        <w:ind w:firstLine="709"/>
        <w:jc w:val="both"/>
        <w:rPr>
          <w:iCs/>
          <w:sz w:val="28"/>
        </w:rPr>
      </w:pPr>
      <w:r w:rsidRPr="003B1448">
        <w:rPr>
          <w:sz w:val="28"/>
          <w:szCs w:val="28"/>
        </w:rPr>
        <w:t>По итогам проверки изучено 4287 договоров о предоставлении микрокредитов на сумму 2,3 млрд тенге,</w:t>
      </w:r>
      <w:r w:rsidRPr="003B1448">
        <w:rPr>
          <w:b/>
          <w:sz w:val="28"/>
          <w:szCs w:val="28"/>
        </w:rPr>
        <w:t xml:space="preserve"> </w:t>
      </w:r>
      <w:r w:rsidRPr="003B1448">
        <w:rPr>
          <w:iCs/>
          <w:sz w:val="28"/>
        </w:rPr>
        <w:t>из них по 3728 договорам имеются арбитражные решения, по 559 договорам осуществляется исполнение обязательств в соответствии с условиями договора.</w:t>
      </w:r>
    </w:p>
    <w:p w:rsidR="00B04EFF" w:rsidRPr="003B1448" w:rsidP="00B04EFF">
      <w:pPr>
        <w:ind w:firstLine="709"/>
        <w:jc w:val="both"/>
        <w:rPr>
          <w:iCs/>
          <w:sz w:val="28"/>
        </w:rPr>
      </w:pPr>
    </w:p>
    <w:p w:rsidR="00B04EFF" w:rsidP="00B04EFF">
      <w:pPr>
        <w:ind w:firstLine="709"/>
        <w:jc w:val="both"/>
        <w:rPr>
          <w:sz w:val="28"/>
          <w:szCs w:val="28"/>
        </w:rPr>
      </w:pPr>
    </w:p>
    <w:p w:rsidR="00B04EFF" w:rsidP="00B04EFF">
      <w:pPr>
        <w:ind w:firstLine="709"/>
        <w:jc w:val="both"/>
        <w:rPr>
          <w:sz w:val="28"/>
          <w:szCs w:val="28"/>
        </w:rPr>
      </w:pPr>
    </w:p>
    <w:p w:rsidR="00B04EFF" w:rsidRPr="003B1448" w:rsidP="00B04EF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проверки </w:t>
      </w:r>
      <w:r w:rsidRPr="003B1448">
        <w:rPr>
          <w:sz w:val="28"/>
          <w:szCs w:val="28"/>
        </w:rPr>
        <w:t xml:space="preserve">выявлены факты необоснованного начисления </w:t>
      </w:r>
      <w:r>
        <w:rPr>
          <w:sz w:val="28"/>
          <w:szCs w:val="28"/>
        </w:rPr>
        <w:br/>
      </w:r>
      <w:r w:rsidRPr="003B1448">
        <w:rPr>
          <w:sz w:val="28"/>
          <w:szCs w:val="28"/>
        </w:rPr>
        <w:t>ТОО вознаграждений и штрафных санкций заемщикам, приводящие к увеличению суммы займа.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 xml:space="preserve">При этом более детальная информация по выявленным нарушениям не раскрывается в связи с ограничениями, установленными законодательством </w:t>
      </w:r>
      <w:r>
        <w:rPr>
          <w:sz w:val="28"/>
          <w:szCs w:val="28"/>
        </w:rPr>
        <w:br/>
      </w:r>
      <w:r w:rsidRPr="003B1448">
        <w:rPr>
          <w:sz w:val="28"/>
          <w:szCs w:val="28"/>
        </w:rPr>
        <w:t>о микрофинансовой деятельности, персональных данных и их защите.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>На сегодня ТОО о</w:t>
      </w:r>
      <w:r>
        <w:rPr>
          <w:sz w:val="28"/>
          <w:szCs w:val="28"/>
        </w:rPr>
        <w:t>спаривает действия Генеральной п</w:t>
      </w:r>
      <w:r w:rsidRPr="003B1448">
        <w:rPr>
          <w:sz w:val="28"/>
          <w:szCs w:val="28"/>
        </w:rPr>
        <w:t>рокуратуры по назначению проверки в судебном порядке. В связи с чем, проверка приостановлена.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  <w:r w:rsidRPr="003B1448">
        <w:rPr>
          <w:sz w:val="28"/>
          <w:szCs w:val="28"/>
        </w:rPr>
        <w:t xml:space="preserve">Учитывая, что осуществление высшего надзора за соблюдением законности на территории </w:t>
      </w:r>
      <w:r>
        <w:rPr>
          <w:sz w:val="28"/>
          <w:szCs w:val="28"/>
        </w:rPr>
        <w:t>Республики Казахстан</w:t>
      </w:r>
      <w:r w:rsidRPr="003B1448">
        <w:rPr>
          <w:sz w:val="28"/>
          <w:szCs w:val="28"/>
        </w:rPr>
        <w:t xml:space="preserve"> </w:t>
      </w:r>
      <w:r w:rsidRPr="003B1448">
        <w:rPr>
          <w:i/>
          <w:iCs/>
        </w:rPr>
        <w:t>(Указ Президента РК от 13 октября 2017 года №563)</w:t>
      </w:r>
      <w:r w:rsidRPr="003B1448">
        <w:t xml:space="preserve"> </w:t>
      </w:r>
      <w:r>
        <w:rPr>
          <w:sz w:val="28"/>
          <w:szCs w:val="28"/>
        </w:rPr>
        <w:t>является задачей Генеральной п</w:t>
      </w:r>
      <w:r w:rsidRPr="003B1448">
        <w:rPr>
          <w:sz w:val="28"/>
          <w:szCs w:val="28"/>
        </w:rPr>
        <w:t>рокуратуры, по итогам завершения проверочных мероприятий будут приняты соответствующие процессуальные меры путем подачи органами прокуратуры соответствующих исков в суд о восстановлении нарушенных прав заемщиков МФО.</w:t>
      </w:r>
    </w:p>
    <w:p w:rsidR="00B04EFF" w:rsidRPr="003B1448" w:rsidP="00B04EFF">
      <w:pPr>
        <w:ind w:firstLine="709"/>
        <w:jc w:val="both"/>
        <w:rPr>
          <w:sz w:val="28"/>
          <w:szCs w:val="28"/>
        </w:rPr>
      </w:pPr>
    </w:p>
    <w:p w:rsidR="00B04EFF" w:rsidRPr="003B1448" w:rsidP="00B04EFF">
      <w:pPr>
        <w:ind w:firstLine="709"/>
        <w:jc w:val="both"/>
        <w:rPr>
          <w:sz w:val="28"/>
          <w:szCs w:val="28"/>
        </w:rPr>
      </w:pPr>
    </w:p>
    <w:p w:rsidR="00B04EFF" w:rsidRPr="003B1448" w:rsidP="00B04EFF">
      <w:pPr>
        <w:widowControl w:val="0"/>
        <w:tabs>
          <w:tab w:val="left" w:pos="142"/>
          <w:tab w:val="left" w:pos="426"/>
          <w:tab w:val="left" w:pos="567"/>
        </w:tabs>
        <w:jc w:val="both"/>
        <w:rPr>
          <w:b/>
          <w:sz w:val="28"/>
          <w:szCs w:val="28"/>
        </w:rPr>
      </w:pP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</w:r>
      <w:r w:rsidRPr="003B1448">
        <w:rPr>
          <w:b/>
          <w:sz w:val="28"/>
          <w:szCs w:val="28"/>
        </w:rPr>
        <w:tab/>
        <w:t xml:space="preserve">          </w:t>
      </w:r>
      <w:r w:rsidR="00330732">
        <w:rPr>
          <w:b/>
          <w:sz w:val="28"/>
          <w:szCs w:val="28"/>
        </w:rPr>
        <w:t xml:space="preserve">        </w:t>
      </w:r>
      <w:r w:rsidRPr="003B1448">
        <w:rPr>
          <w:b/>
          <w:sz w:val="28"/>
          <w:szCs w:val="28"/>
        </w:rPr>
        <w:t xml:space="preserve">Н. </w:t>
      </w:r>
      <w:r w:rsidRPr="003B1448">
        <w:rPr>
          <w:b/>
          <w:sz w:val="28"/>
          <w:szCs w:val="28"/>
        </w:rPr>
        <w:t>Байбазаров</w:t>
      </w:r>
    </w:p>
    <w:p w:rsidR="00B04EFF" w:rsidRPr="003B1448" w:rsidP="00B04EFF">
      <w:pPr>
        <w:widowControl w:val="0"/>
        <w:tabs>
          <w:tab w:val="left" w:pos="993"/>
        </w:tabs>
        <w:jc w:val="right"/>
        <w:rPr>
          <w:b/>
          <w:sz w:val="28"/>
          <w:szCs w:val="28"/>
        </w:rPr>
      </w:pPr>
    </w:p>
    <w:p w:rsidR="00B04EFF" w:rsidRPr="003B1448" w:rsidP="00B04EFF">
      <w:pPr>
        <w:widowControl w:val="0"/>
        <w:tabs>
          <w:tab w:val="left" w:pos="993"/>
        </w:tabs>
        <w:jc w:val="right"/>
        <w:rPr>
          <w:b/>
          <w:sz w:val="28"/>
          <w:szCs w:val="28"/>
        </w:rPr>
      </w:pPr>
    </w:p>
    <w:p w:rsidR="00B04EFF" w:rsidRPr="003B1448" w:rsidP="00B04EFF">
      <w:pPr>
        <w:widowControl w:val="0"/>
        <w:tabs>
          <w:tab w:val="left" w:pos="993"/>
        </w:tabs>
        <w:jc w:val="right"/>
        <w:rPr>
          <w:b/>
          <w:sz w:val="28"/>
          <w:szCs w:val="28"/>
        </w:rPr>
      </w:pPr>
    </w:p>
    <w:p w:rsidR="00B04EFF" w:rsidRPr="003B1448" w:rsidP="00B04EFF">
      <w:pPr>
        <w:widowControl w:val="0"/>
        <w:pBdr>
          <w:bottom w:val="single" w:sz="4" w:space="31" w:color="FFFFFF"/>
        </w:pBdr>
        <w:tabs>
          <w:tab w:val="left" w:pos="0"/>
        </w:tabs>
        <w:ind w:firstLine="709"/>
        <w:jc w:val="center"/>
        <w:rPr>
          <w:b/>
          <w:sz w:val="28"/>
        </w:rPr>
      </w:pPr>
    </w:p>
    <w:p w:rsidR="00B04EFF" w:rsidRPr="003B1448" w:rsidP="00B04EFF">
      <w:pPr>
        <w:widowControl w:val="0"/>
        <w:pBdr>
          <w:bottom w:val="single" w:sz="4" w:space="31" w:color="FFFFFF"/>
        </w:pBdr>
        <w:tabs>
          <w:tab w:val="left" w:pos="0"/>
        </w:tabs>
        <w:ind w:firstLine="709"/>
        <w:jc w:val="center"/>
        <w:rPr>
          <w:b/>
          <w:sz w:val="28"/>
        </w:rPr>
      </w:pPr>
    </w:p>
    <w:p w:rsidR="00B04EFF" w:rsidP="00B04EFF">
      <w:pPr>
        <w:widowControl w:val="0"/>
        <w:pBdr>
          <w:bottom w:val="single" w:sz="4" w:space="31" w:color="FFFFFF"/>
        </w:pBdr>
        <w:tabs>
          <w:tab w:val="left" w:pos="0"/>
        </w:tabs>
        <w:rPr>
          <w:b/>
          <w:sz w:val="28"/>
        </w:rPr>
      </w:pPr>
    </w:p>
    <w:sectPr w:rsidSect="008447B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567" w:right="567" w:bottom="567" w:left="1134" w:header="510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DA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DA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DA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-8997442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175DAD" w:rsidRPr="00175DAD">
                          <w:pPr>
                            <w:rPr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color w:val="0C0000"/>
                              <w:sz w:val="14"/>
                            </w:rPr>
                            <w:t xml:space="preserve">20.06.2024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508.6pt;margin-top:-708.45pt;mso-wrap-distance-bottom:0;mso-wrap-distance-left:9pt;mso-wrap-distance-right:9pt;mso-wrap-distance-top:0;mso-wrap-style:square;position:absolute;v-text-anchor:top;visibility:visible;width:30pt;z-index:251661312" filled="f" stroked="f" strokeweight="0.5pt">
              <v:fill o:detectmouseclick="t"/>
              <v:textbox style="layout-flow:vertical;mso-layout-flow-alt:bottom-to-top">
                <w:txbxContent>
                  <w:p w:rsidR="00175DAD" w:rsidRPr="00175DAD">
                    <w:pPr>
                      <w:rPr>
                        <w:color w:val="0C0000"/>
                        <w:sz w:val="14"/>
                      </w:rPr>
                    </w:pPr>
                    <w:r>
                      <w:rPr>
                        <w:color w:val="0C0000"/>
                        <w:sz w:val="14"/>
                      </w:rPr>
                      <w:t xml:space="preserve">20.06.2024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DA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10457494"/>
      <w:docPartObj>
        <w:docPartGallery w:val="Page Numbers (Top of Page)"/>
        <w:docPartUnique/>
      </w:docPartObj>
    </w:sdtPr>
    <w:sdtContent>
      <w:p w:rsidR="00DB442E">
        <w:pPr>
          <w:pStyle w:val="Header"/>
          <w:jc w:val="center"/>
        </w:pPr>
      </w:p>
      <w:p w:rsidR="00B04EFF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38BB">
          <w:rPr>
            <w:noProof/>
          </w:rPr>
          <w:t>2</w:t>
        </w:r>
        <w:r>
          <w:fldChar w:fldCharType="end"/>
        </w:r>
      </w:p>
    </w:sdtContent>
  </w:sdt>
  <w:p w:rsidR="00B04EF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54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-190500</wp:posOffset>
              </wp:positionH>
              <wp:positionV relativeFrom="paragraph">
                <wp:posOffset>-190500</wp:posOffset>
              </wp:positionV>
              <wp:extent cx="2047875" cy="133350"/>
              <wp:effectExtent l="15240" t="8890" r="13335" b="10160"/>
              <wp:wrapNone/>
              <wp:docPr id="3" name="WordArt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2047875" cy="133350"/>
                      </a:xfrm>
                      <a:prstGeom prst="rect">
                        <a:avLst/>
                      </a:prstGeom>
                      <a:extLst>
                        <a:ext xmlns:a="http://schemas.openxmlformats.org/drawingml/2006/main"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8447B2" w:rsidP="008447B2">
                          <w:pPr>
                            <w:jc w:val="center"/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20.06.2024-ғы № 12-13/2797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дз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шығыс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хаты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2049" type="#_x0000_t202" style="height:10.5pt;margin-left:-15pt;margin-top:-15pt;mso-height-percent:0;mso-height-relative:page;mso-width-percent:0;mso-width-relative:page;mso-wrap-distance-bottom:0;mso-wrap-distance-left:9pt;mso-wrap-distance-right:9pt;mso-wrap-distance-top:0;mso-wrap-style:square;position:absolute;v-text-anchor:top;visibility:visible;width:161.25pt;z-index:251659264" filled="f" stroked="f">
              <o:lock v:ext="edit" shapetype="t"/>
              <v:textbox style="mso-fit-shape-to-text:t">
                <w:txbxContent>
                  <w:p w:rsidR="008447B2" w:rsidP="008447B2">
                    <w:pPr>
                      <w:jc w:val="center"/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20.06.2024-ғы № 12-13/2797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дз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шығыс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хаты</w:t>
                    </w:r>
                  </w:p>
                </w:txbxContent>
              </v:textbox>
            </v:shape>
          </w:pict>
        </mc:Fallback>
      </mc:AlternateContent>
    </w:r>
    <w:r w:rsidR="003E0E42">
      <w:rPr>
        <w:noProof/>
      </w:rPr>
      <w:drawing>
        <wp:inline distT="0" distB="0" distL="0" distR="0">
          <wp:extent cx="6477000" cy="1895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B4373E0"/>
    <w:multiLevelType w:val="hybridMultilevel"/>
    <w:tmpl w:val="2FE0F8DA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  <w:rPr>
        <w:b w:val="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4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ListParagraph">
    <w:name w:val="List Paragraph"/>
    <w:aliases w:val="3,Bullet 1,Bullet Points,Colorful List - Accent 11,Dot pt,F5 List Paragraph,Heading1,Indicator Text,Issue Action POC,List Paragraph Char Char Char,List Paragraph1,MAIN CONTENT,Normal numbered,Numbered Para 1,POCG Table Text,Recommendation"/>
    <w:basedOn w:val="Normal"/>
    <w:link w:val="a2"/>
    <w:uiPriority w:val="34"/>
    <w:qFormat/>
    <w:rsid w:val="00B04EF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2">
    <w:name w:val="Абзац списка Знак"/>
    <w:aliases w:val="Bullet 1 Знак,Bullet Points Знак,Colorful List - Accent 11 Знак,Dot pt Знак,F5 List Paragraph Знак,Indicator Text Знак,List Paragraph Char Char Char Знак,List Paragraph1 Знак,MAIN CONTENT Знак,Numbered Para 1 Знак,Recommendation Знак"/>
    <w:link w:val="ListParagraph"/>
    <w:uiPriority w:val="34"/>
    <w:qFormat/>
    <w:locked/>
    <w:rsid w:val="00B04EFF"/>
  </w:style>
  <w:style w:type="paragraph" w:styleId="NoSpacing">
    <w:name w:val="No Spacing"/>
    <w:uiPriority w:val="1"/>
    <w:qFormat/>
    <w:rsid w:val="00B04EFF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2900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