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19" w:rsidRPr="00A63BE7" w:rsidRDefault="00506819" w:rsidP="005068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BE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506819" w:rsidRPr="00A63BE7" w:rsidRDefault="00506819" w:rsidP="005068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E7">
        <w:rPr>
          <w:rFonts w:ascii="Times New Roman" w:hAnsi="Times New Roman" w:cs="Times New Roman"/>
          <w:b/>
          <w:sz w:val="28"/>
          <w:szCs w:val="28"/>
        </w:rPr>
        <w:t>к проекту Конституционного закона Республики Казахстан</w:t>
      </w:r>
    </w:p>
    <w:p w:rsidR="00506819" w:rsidRPr="00A63BE7" w:rsidRDefault="00506819" w:rsidP="005068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E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Конституционный закон Республики Казахстан </w:t>
      </w:r>
    </w:p>
    <w:p w:rsidR="00506819" w:rsidRPr="00A63BE7" w:rsidRDefault="00506819" w:rsidP="005068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E7">
        <w:rPr>
          <w:rFonts w:ascii="Times New Roman" w:hAnsi="Times New Roman" w:cs="Times New Roman"/>
          <w:b/>
          <w:sz w:val="28"/>
          <w:szCs w:val="28"/>
        </w:rPr>
        <w:t>«О выборах в Республике Казахстан»</w:t>
      </w:r>
    </w:p>
    <w:p w:rsidR="00506819" w:rsidRPr="00A63BE7" w:rsidRDefault="00506819" w:rsidP="005068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678"/>
        <w:gridCol w:w="4961"/>
        <w:gridCol w:w="2977"/>
      </w:tblGrid>
      <w:tr w:rsidR="00506819" w:rsidRPr="00A63BE7" w:rsidTr="004E2B51">
        <w:tc>
          <w:tcPr>
            <w:tcW w:w="1277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Струк-турный элемент</w:t>
            </w:r>
          </w:p>
        </w:tc>
        <w:tc>
          <w:tcPr>
            <w:tcW w:w="4678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961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2977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506819" w:rsidRPr="00A63BE7" w:rsidTr="004E2B51">
        <w:tc>
          <w:tcPr>
            <w:tcW w:w="1277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819" w:rsidRPr="00A63BE7" w:rsidTr="004E2B51">
        <w:tc>
          <w:tcPr>
            <w:tcW w:w="1277" w:type="dxa"/>
          </w:tcPr>
          <w:p w:rsidR="00506819" w:rsidRPr="00A63BE7" w:rsidRDefault="00506819" w:rsidP="004E2B51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пункт 3 статьи 89</w:t>
            </w:r>
          </w:p>
        </w:tc>
        <w:tc>
          <w:tcPr>
            <w:tcW w:w="4678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Статья 89. Регистрация кандидатов в депутаты Мажилиса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3. Регистрация партийных списков производится при наличии следующих документов: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1) выписки из протокола высшего органа политической партии о выдвижении партийного списка с приложением копии документа о регистрации политической партии в Министерстве юстиции Республики;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2) заявления гражданина о согласии быть включенным в партийный список;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3) биографических данных о каждом лице, включенном в партийный список;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4) справки органа государственных доходов о сдаче кандидатом и его (ее) супругой 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(супругом) деклараций об активах и обязательствах;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5) документа, подтверждающего внесение политической партией избирательного взноса;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6) документа, подтверждающего членство лица, включенного в партийный список, в политической партии, выдвинувшей данный список.</w:t>
            </w:r>
          </w:p>
        </w:tc>
        <w:tc>
          <w:tcPr>
            <w:tcW w:w="4961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89. Регистрация кандидатов в депутаты Мажилиса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3. Регистрация партийных списков производится при наличии следующих документов: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1) выписки из протокола высшего органа политической партии о выдвижении партийного списка с приложением копии документа о регистрации политической партии в Министерстве юстиции Республики;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2) заявления гражданина о согласии быть включенным в партийный список;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3) биографических данных о каждом лице, включенном в партийный список;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4) справки органа государственных доходов о сдаче кандидатом и его (ее) супругой (супругом) деклараций об активах и обязательствах;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документа, подтверждающего внесение политической партией избирательного взноса;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6) документа, подтверждающего членство лица, включенного в партийный список, в политической партии, выдвинувшей данный список;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К документам, указанным в части первой настоящего пункта, кандидатами-лицами с инвалидностью дополнительно представляются справки об инвалидности по форме, установленной уполномоченным органом в области социальной защиты населения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своем Послании народу Казахстана от 1 сентября 2021 года «Единство народа и системные реформы - прочная основа процветания страны» Глава государства отметил, что </w:t>
            </w:r>
            <w:r w:rsidRPr="00A63BE7">
              <w:rPr>
                <w:rFonts w:ascii="Times New Roman" w:hAnsi="Times New Roman" w:cs="Times New Roman"/>
                <w:i/>
                <w:sz w:val="24"/>
                <w:szCs w:val="24"/>
              </w:rPr>
              <w:t>«Внедрение нормы о 30-процентной квоте для женщин и молодежи в избирательных списках подтолкнуло партии к более активной работе, омоложению своих рядов, поиску новых лиц.</w:t>
            </w:r>
          </w:p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тем, в итоговых составах народных избранников квота не нашла должного отражения. Поэтому для получения полноценного эффекта нужно </w:t>
            </w:r>
            <w:r w:rsidRPr="00A63B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законодательно закрепить норму об обязательном учете данной квоты при распределении депутатских мандатов. </w:t>
            </w:r>
          </w:p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E7">
              <w:rPr>
                <w:rFonts w:ascii="Times New Roman" w:hAnsi="Times New Roman" w:cs="Times New Roman"/>
                <w:i/>
                <w:sz w:val="24"/>
                <w:szCs w:val="24"/>
              </w:rPr>
              <w:t>Мы строим инклюзивное общество.</w:t>
            </w:r>
          </w:p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E7">
              <w:rPr>
                <w:rFonts w:ascii="Times New Roman" w:hAnsi="Times New Roman" w:cs="Times New Roman"/>
                <w:i/>
                <w:sz w:val="24"/>
                <w:szCs w:val="24"/>
              </w:rPr>
              <w:t>Пока же в нашей стране лица с инвалидностью и особыми потребностями слабо представлены в общественно-политической жизни.</w:t>
            </w:r>
          </w:p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E7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 расширить перечень квотируемых категорий граждан, помимо женщин и молодежи, установив квоту и для лиц с особыми потребностями.».</w:t>
            </w:r>
          </w:p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необходимо внести изменения и дополнения в законодательство в целях закрепления нормы об обязательном учете квоты при распределении депутатских мандатов, 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расширении перечня квотируемых категорий граждан, помимо женщин и молодежи, установив квоту и для лиц с особыми потребностями.</w:t>
            </w:r>
          </w:p>
        </w:tc>
      </w:tr>
      <w:tr w:rsidR="00506819" w:rsidRPr="00A63BE7" w:rsidTr="004E2B51">
        <w:trPr>
          <w:trHeight w:val="291"/>
        </w:trPr>
        <w:tc>
          <w:tcPr>
            <w:tcW w:w="1277" w:type="dxa"/>
          </w:tcPr>
          <w:p w:rsidR="00506819" w:rsidRPr="00A63BE7" w:rsidRDefault="00506819" w:rsidP="004E2B51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пункт 4 статьи 89</w:t>
            </w:r>
          </w:p>
        </w:tc>
        <w:tc>
          <w:tcPr>
            <w:tcW w:w="4678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Статья 89. Регистрация кандидатов в депутаты Мажилиса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4. К регистрации допускается только один список от одной политической партии с количеством включенных в него лиц, не превышающим установленного числа депутатских мандатов, распределяемых среди политических партий, на тридцать процентов.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В партийном списке количество 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женщин и лиц, не достигших двадцатидевятилетнего возраста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, должно составлять не менее тридцати процентов от общего числа включенных в него лиц.</w:t>
            </w:r>
          </w:p>
        </w:tc>
        <w:tc>
          <w:tcPr>
            <w:tcW w:w="4961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Статья 89. Регистрация кандидатов в депутаты Мажилиса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4. К регистрации допускается только один список от одной политической партии с количеством включенных в него лиц, не превышающим установленного числа депутатских мандатов, распределяемых среди политических партий, на тридцать процентов. 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В партийном списке количество 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 трех категорий: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 женщин, лиц, не достигших двадцатидевятилетнего возраста, 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с инвалидностью 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должно составлять не менее тридцати процентов от общего числа включенных в него лиц.</w:t>
            </w:r>
            <w:r w:rsidRPr="00A63BE7">
              <w:t xml:space="preserve"> </w:t>
            </w:r>
          </w:p>
        </w:tc>
        <w:tc>
          <w:tcPr>
            <w:tcW w:w="297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Аналогично пункту 1 настоящей СТ</w:t>
            </w:r>
          </w:p>
        </w:tc>
      </w:tr>
      <w:tr w:rsidR="00506819" w:rsidRPr="00A63BE7" w:rsidTr="004E2B51">
        <w:tc>
          <w:tcPr>
            <w:tcW w:w="1277" w:type="dxa"/>
          </w:tcPr>
          <w:p w:rsidR="00506819" w:rsidRPr="00A63BE7" w:rsidRDefault="00506819" w:rsidP="004E2B51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пункт 5 статьи 97-1</w:t>
            </w:r>
          </w:p>
        </w:tc>
        <w:tc>
          <w:tcPr>
            <w:tcW w:w="4678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Статья 97-1. Распределение депутатских мандатов по итогам голосования по партийным спискам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5. Очередность распределения депутатских мандатов определяется руководящим органом политической партии из числа включенных в партийный список кандидатов в соответствии с пунктом 4 статьи 89 настоящего Конституционного закона не позднее десяти дней со дня опубликования итогов выборов.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В случае, если в установленные частью первой настоящего пункта сроки руководящим органом политической партии не определена очередность распределения полученных депутатских мандатов, постановлением Центральной избирательной комиссии осуществляется распределение полученных партией депутатских мандатов согласно зарегистрированным спискам в алфавитном порядке государственного языка.</w:t>
            </w:r>
          </w:p>
        </w:tc>
        <w:tc>
          <w:tcPr>
            <w:tcW w:w="4961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97-1. Распределение депутатских мандатов по итогам голосования по партийным спискам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Очередность распределения депутатских мандатов определяется руководящим органом политической партии из числа включенных в партийный список кандидатов в соответствии с пунктом 4 статьи 89 настоящего Конституционного закона не позднее десяти дней со дня опубликования итогов выборов.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В случае, если в установленные частью первой настоящего пункта сроки руководящим органом политической партии не определена очередность распределения полученных депутатских мандатов, постановлением Центральной избирательной комиссии осуществляется распределение полученных партией депутатских мандатов согласно зарегистрированным спискам в алфавитном порядке государственного языка.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При распределении депутатских мандатов количество представителей трех категорий: женщин, лиц, не достигших двадцатидевятилетнего возраста,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с инвалидностью должно составлять не менее тридцати 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процентов от общего числа полученных партией депутатских мандатов. </w:t>
            </w:r>
          </w:p>
        </w:tc>
        <w:tc>
          <w:tcPr>
            <w:tcW w:w="297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Аналогично пункту 1 настоящей СТ</w:t>
            </w:r>
          </w:p>
        </w:tc>
      </w:tr>
      <w:tr w:rsidR="00506819" w:rsidRPr="00A63BE7" w:rsidTr="004E2B51">
        <w:tc>
          <w:tcPr>
            <w:tcW w:w="1277" w:type="dxa"/>
          </w:tcPr>
          <w:p w:rsidR="00506819" w:rsidRPr="00A63BE7" w:rsidRDefault="00506819" w:rsidP="004E2B51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пункт 6 статьи 97-1</w:t>
            </w:r>
          </w:p>
        </w:tc>
        <w:tc>
          <w:tcPr>
            <w:tcW w:w="4678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Статья 97-1. Распределение депутатских мандатов по итогам голосования по партийным спискам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6. В случае досрочного выбытия депутата его мандат постановлением Центральной избирательной комиссии передается следующему кандидату, определяемому руководящим органом политической партии из числа включенных в список политической партии в соответствии с пунктом 5 настоящей статьи.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В случае, если в соответствующем партийном списке кандидатов не осталось, мандат остается вакантным до следующих выборов депутатов Мажилиса.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 вправе изменить очередность кандидатов в партийных списках, обратившись с письменным заявлением об этом и с выпиской из протокола заседания руководящего органа политической партии в Центральную 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избирательную комиссию.</w:t>
            </w:r>
          </w:p>
        </w:tc>
        <w:tc>
          <w:tcPr>
            <w:tcW w:w="4961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97-1. Распределение депутатских мандатов по итогам голосования по партийным спискам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досрочного выбытия депутата его мандат постановлением Центральной избирательной комиссии передается следующему кандидату, определяемому руководящим органом политической партии из числа включенных в список политической партии в соответствии с пунктом 5 настоящей статьи. </w:t>
            </w:r>
            <w:r w:rsidRPr="00A63BE7">
              <w:rPr>
                <w:rFonts w:ascii="Times New Roman" w:hAnsi="Times New Roman" w:cs="Times New Roman"/>
                <w:b/>
                <w:sz w:val="28"/>
                <w:szCs w:val="28"/>
              </w:rPr>
              <w:t>При этом должны быть соблюдены требования части третьей пункта 5 настоящей статьи.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>В случае, если в соответствующем партийном списке кандидатов не осталось, мандат остается вакантным до следующих выборов депутатов Мажилиса.</w:t>
            </w:r>
          </w:p>
          <w:p w:rsidR="00506819" w:rsidRPr="00A63BE7" w:rsidRDefault="00506819" w:rsidP="004E2B51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 вправе изменить очередность кандидатов в партийных списках, обратившись с письменным заявлением об этом и с выпиской из протокола заседания руководящего органа политической партии в Центральную избирательную </w:t>
            </w: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комиссию.</w:t>
            </w:r>
          </w:p>
        </w:tc>
        <w:tc>
          <w:tcPr>
            <w:tcW w:w="297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Аналогично пункту 1 настоящей СТ</w:t>
            </w:r>
          </w:p>
        </w:tc>
      </w:tr>
      <w:tr w:rsidR="00506819" w:rsidRPr="00A63BE7" w:rsidTr="004E2B51">
        <w:tc>
          <w:tcPr>
            <w:tcW w:w="1277" w:type="dxa"/>
          </w:tcPr>
          <w:p w:rsidR="00506819" w:rsidRPr="00A63BE7" w:rsidRDefault="00506819" w:rsidP="004E2B51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BE7">
              <w:rPr>
                <w:rFonts w:ascii="Times New Roman" w:hAnsi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4961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/>
                <w:b/>
                <w:sz w:val="28"/>
                <w:szCs w:val="28"/>
              </w:rPr>
              <w:t xml:space="preserve">Статья 2. Действие статьи 1 настоящего Конституционного закона не распространяется на правоотношения, возникшие в связи с проведением выборов, назначенных до введения в действие настоящего Конституционного закона. </w:t>
            </w:r>
          </w:p>
        </w:tc>
        <w:tc>
          <w:tcPr>
            <w:tcW w:w="2977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819" w:rsidRPr="00A63BE7" w:rsidTr="004E2B51">
        <w:tc>
          <w:tcPr>
            <w:tcW w:w="1277" w:type="dxa"/>
          </w:tcPr>
          <w:p w:rsidR="00506819" w:rsidRPr="00A63BE7" w:rsidRDefault="00506819" w:rsidP="004E2B51">
            <w:pPr>
              <w:pStyle w:val="ac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819" w:rsidRPr="00A63BE7" w:rsidRDefault="00506819" w:rsidP="004E2B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BE7">
              <w:rPr>
                <w:rFonts w:ascii="Times New Roman" w:hAnsi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4961" w:type="dxa"/>
          </w:tcPr>
          <w:p w:rsidR="00506819" w:rsidRPr="00A63BE7" w:rsidRDefault="00506819" w:rsidP="004E2B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3BE7">
              <w:rPr>
                <w:rFonts w:ascii="Times New Roman" w:hAnsi="Times New Roman"/>
                <w:b/>
                <w:sz w:val="28"/>
                <w:szCs w:val="28"/>
              </w:rPr>
              <w:t>Статья 3. Настоящий Конституционный закон вводится в действие по истечении десяти календарных дней после дня его первого официального опубликования.</w:t>
            </w:r>
          </w:p>
        </w:tc>
        <w:tc>
          <w:tcPr>
            <w:tcW w:w="2977" w:type="dxa"/>
          </w:tcPr>
          <w:p w:rsidR="00506819" w:rsidRPr="00A63BE7" w:rsidRDefault="00506819" w:rsidP="004E2B51">
            <w:pPr>
              <w:shd w:val="clear" w:color="auto" w:fill="FFFFFF" w:themeFill="background1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819" w:rsidRPr="00A63BE7" w:rsidRDefault="00506819" w:rsidP="00506819">
      <w:pPr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06819" w:rsidRPr="00A63BE7" w:rsidRDefault="00506819" w:rsidP="00506819">
      <w:pPr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>Министр юстиции</w:t>
      </w:r>
    </w:p>
    <w:p w:rsidR="00506819" w:rsidRPr="00387B15" w:rsidRDefault="00506819" w:rsidP="00506819">
      <w:pPr>
        <w:shd w:val="clear" w:color="auto" w:fill="FFFFFF" w:themeFill="background1"/>
        <w:spacing w:after="0" w:line="240" w:lineRule="auto"/>
        <w:ind w:left="1134"/>
        <w:rPr>
          <w:rFonts w:ascii="Times New Roman" w:hAnsi="Times New Roman" w:cs="Times New Roman"/>
          <w:lang w:val="kk-KZ"/>
        </w:rPr>
      </w:pP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</w:t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3BE7">
        <w:rPr>
          <w:rFonts w:ascii="Times New Roman" w:hAnsi="Times New Roman" w:cs="Times New Roman"/>
          <w:b/>
          <w:sz w:val="28"/>
          <w:szCs w:val="28"/>
          <w:lang w:val="kk-KZ"/>
        </w:rPr>
        <w:tab/>
        <w:t>М. Бекетаев</w:t>
      </w:r>
    </w:p>
    <w:p w:rsidR="00506819" w:rsidRPr="00640F8C" w:rsidRDefault="00506819" w:rsidP="003C2B22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506819" w:rsidRPr="00640F8C" w:rsidSect="007D2519">
      <w:headerReference w:type="default" r:id="rId8"/>
      <w:headerReference w:type="first" r:id="rId9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87" w:rsidRDefault="00C26E87" w:rsidP="009448E2">
      <w:pPr>
        <w:spacing w:after="0" w:line="240" w:lineRule="auto"/>
      </w:pPr>
      <w:r>
        <w:separator/>
      </w:r>
    </w:p>
  </w:endnote>
  <w:endnote w:type="continuationSeparator" w:id="0">
    <w:p w:rsidR="00C26E87" w:rsidRDefault="00C26E87" w:rsidP="009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87" w:rsidRDefault="00C26E87" w:rsidP="009448E2">
      <w:pPr>
        <w:spacing w:after="0" w:line="240" w:lineRule="auto"/>
      </w:pPr>
      <w:r>
        <w:separator/>
      </w:r>
    </w:p>
  </w:footnote>
  <w:footnote w:type="continuationSeparator" w:id="0">
    <w:p w:rsidR="00C26E87" w:rsidRDefault="00C26E87" w:rsidP="0094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727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8E2" w:rsidRPr="00640F8C" w:rsidRDefault="003D74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F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8E2" w:rsidRPr="00640F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F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F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0F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8E2" w:rsidRPr="00640F8C" w:rsidRDefault="009448E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19" w:rsidRDefault="007D2519" w:rsidP="007D2519">
    <w:pPr>
      <w:pStyle w:val="a4"/>
      <w:tabs>
        <w:tab w:val="clear" w:pos="4677"/>
        <w:tab w:val="clear" w:pos="9355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66D"/>
    <w:multiLevelType w:val="hybridMultilevel"/>
    <w:tmpl w:val="15BAC250"/>
    <w:lvl w:ilvl="0" w:tplc="0496648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680FDE"/>
    <w:multiLevelType w:val="hybridMultilevel"/>
    <w:tmpl w:val="2C0C56B6"/>
    <w:lvl w:ilvl="0" w:tplc="009A4EC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E"/>
    <w:rsid w:val="000072F5"/>
    <w:rsid w:val="0007028C"/>
    <w:rsid w:val="0007470F"/>
    <w:rsid w:val="000A1B16"/>
    <w:rsid w:val="000B0AA1"/>
    <w:rsid w:val="000B0FD7"/>
    <w:rsid w:val="000B4689"/>
    <w:rsid w:val="000C52D4"/>
    <w:rsid w:val="000F37F8"/>
    <w:rsid w:val="0013751B"/>
    <w:rsid w:val="00147F37"/>
    <w:rsid w:val="00151E4E"/>
    <w:rsid w:val="00162471"/>
    <w:rsid w:val="00166C95"/>
    <w:rsid w:val="00183795"/>
    <w:rsid w:val="001858FE"/>
    <w:rsid w:val="001903AF"/>
    <w:rsid w:val="001C1DA8"/>
    <w:rsid w:val="001E1EFF"/>
    <w:rsid w:val="001F53EB"/>
    <w:rsid w:val="00215A4A"/>
    <w:rsid w:val="00256009"/>
    <w:rsid w:val="00257115"/>
    <w:rsid w:val="002758AF"/>
    <w:rsid w:val="002B2E28"/>
    <w:rsid w:val="002C62AF"/>
    <w:rsid w:val="002D6A3F"/>
    <w:rsid w:val="002E0929"/>
    <w:rsid w:val="00322753"/>
    <w:rsid w:val="003313AC"/>
    <w:rsid w:val="00340AFF"/>
    <w:rsid w:val="00361915"/>
    <w:rsid w:val="0036356D"/>
    <w:rsid w:val="0039120E"/>
    <w:rsid w:val="003C2B22"/>
    <w:rsid w:val="003D74A5"/>
    <w:rsid w:val="0041327A"/>
    <w:rsid w:val="004217A1"/>
    <w:rsid w:val="00443D9A"/>
    <w:rsid w:val="0046127E"/>
    <w:rsid w:val="00461902"/>
    <w:rsid w:val="00475999"/>
    <w:rsid w:val="0049435E"/>
    <w:rsid w:val="004E4844"/>
    <w:rsid w:val="004F0D25"/>
    <w:rsid w:val="004F7584"/>
    <w:rsid w:val="00506819"/>
    <w:rsid w:val="0051179E"/>
    <w:rsid w:val="005169CF"/>
    <w:rsid w:val="00543B8D"/>
    <w:rsid w:val="0057510C"/>
    <w:rsid w:val="00583FD8"/>
    <w:rsid w:val="00596FE3"/>
    <w:rsid w:val="005C3C03"/>
    <w:rsid w:val="005C4C35"/>
    <w:rsid w:val="005F77EE"/>
    <w:rsid w:val="005F7F50"/>
    <w:rsid w:val="0061185C"/>
    <w:rsid w:val="00640F8C"/>
    <w:rsid w:val="00652307"/>
    <w:rsid w:val="0067196D"/>
    <w:rsid w:val="00681631"/>
    <w:rsid w:val="006912A1"/>
    <w:rsid w:val="006B79F9"/>
    <w:rsid w:val="006D76EE"/>
    <w:rsid w:val="006E23F4"/>
    <w:rsid w:val="006F7490"/>
    <w:rsid w:val="00707988"/>
    <w:rsid w:val="007140EB"/>
    <w:rsid w:val="007410FC"/>
    <w:rsid w:val="00785B3E"/>
    <w:rsid w:val="007A7211"/>
    <w:rsid w:val="007B0551"/>
    <w:rsid w:val="007C6981"/>
    <w:rsid w:val="007D2519"/>
    <w:rsid w:val="007D428D"/>
    <w:rsid w:val="007E0D30"/>
    <w:rsid w:val="007F4D56"/>
    <w:rsid w:val="00815EDC"/>
    <w:rsid w:val="00820AE3"/>
    <w:rsid w:val="00821D9E"/>
    <w:rsid w:val="00846BB6"/>
    <w:rsid w:val="00847B2C"/>
    <w:rsid w:val="00853377"/>
    <w:rsid w:val="00874709"/>
    <w:rsid w:val="0087777E"/>
    <w:rsid w:val="008B55B4"/>
    <w:rsid w:val="00910B8A"/>
    <w:rsid w:val="009448E2"/>
    <w:rsid w:val="00977A6A"/>
    <w:rsid w:val="00987D0F"/>
    <w:rsid w:val="00992019"/>
    <w:rsid w:val="00997CC8"/>
    <w:rsid w:val="009C7D4D"/>
    <w:rsid w:val="009E399B"/>
    <w:rsid w:val="009E645D"/>
    <w:rsid w:val="009F4DA7"/>
    <w:rsid w:val="00A1781D"/>
    <w:rsid w:val="00A807DA"/>
    <w:rsid w:val="00A94796"/>
    <w:rsid w:val="00AA7B0A"/>
    <w:rsid w:val="00AD74DF"/>
    <w:rsid w:val="00AF5227"/>
    <w:rsid w:val="00B00442"/>
    <w:rsid w:val="00B01E45"/>
    <w:rsid w:val="00BB0FE1"/>
    <w:rsid w:val="00BC35D4"/>
    <w:rsid w:val="00BE1AF6"/>
    <w:rsid w:val="00BF3249"/>
    <w:rsid w:val="00C26E87"/>
    <w:rsid w:val="00C710E3"/>
    <w:rsid w:val="00C7337D"/>
    <w:rsid w:val="00C73DBD"/>
    <w:rsid w:val="00C778DB"/>
    <w:rsid w:val="00C83EDA"/>
    <w:rsid w:val="00CC0DF4"/>
    <w:rsid w:val="00CF4711"/>
    <w:rsid w:val="00D0781E"/>
    <w:rsid w:val="00D31AEA"/>
    <w:rsid w:val="00D36637"/>
    <w:rsid w:val="00D57733"/>
    <w:rsid w:val="00D755D2"/>
    <w:rsid w:val="00DA6EA4"/>
    <w:rsid w:val="00DB0884"/>
    <w:rsid w:val="00DC47F4"/>
    <w:rsid w:val="00DE157B"/>
    <w:rsid w:val="00DE1FF4"/>
    <w:rsid w:val="00DF6245"/>
    <w:rsid w:val="00E43379"/>
    <w:rsid w:val="00E647EC"/>
    <w:rsid w:val="00E71B2A"/>
    <w:rsid w:val="00E73C6B"/>
    <w:rsid w:val="00E82906"/>
    <w:rsid w:val="00E9447A"/>
    <w:rsid w:val="00EA198F"/>
    <w:rsid w:val="00EB298F"/>
    <w:rsid w:val="00EB4F03"/>
    <w:rsid w:val="00EC776A"/>
    <w:rsid w:val="00F00CD0"/>
    <w:rsid w:val="00F02BB3"/>
    <w:rsid w:val="00F15EA2"/>
    <w:rsid w:val="00F167F7"/>
    <w:rsid w:val="00F365AD"/>
    <w:rsid w:val="00F41AC6"/>
    <w:rsid w:val="00F52422"/>
    <w:rsid w:val="00FA6C85"/>
    <w:rsid w:val="00FC17E7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E56F1-3E2E-4DF0-8330-5667196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E2"/>
  </w:style>
  <w:style w:type="paragraph" w:styleId="a6">
    <w:name w:val="footer"/>
    <w:basedOn w:val="a"/>
    <w:link w:val="a7"/>
    <w:uiPriority w:val="99"/>
    <w:unhideWhenUsed/>
    <w:rsid w:val="0094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E2"/>
  </w:style>
  <w:style w:type="paragraph" w:styleId="a8">
    <w:name w:val="Balloon Text"/>
    <w:basedOn w:val="a"/>
    <w:link w:val="a9"/>
    <w:uiPriority w:val="99"/>
    <w:semiHidden/>
    <w:unhideWhenUsed/>
    <w:rsid w:val="00D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5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522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4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1BA7-C0B8-4EA0-B8F6-CE5F06E8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Абдрахманов Багдат</cp:lastModifiedBy>
  <cp:revision>2</cp:revision>
  <cp:lastPrinted>2021-11-29T11:48:00Z</cp:lastPrinted>
  <dcterms:created xsi:type="dcterms:W3CDTF">2021-12-28T10:23:00Z</dcterms:created>
  <dcterms:modified xsi:type="dcterms:W3CDTF">2021-12-28T10:23:00Z</dcterms:modified>
</cp:coreProperties>
</file>