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F5F88" w:rsidRDefault="000126DD" w:rsidP="00CD20C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Тезисы для выступления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Журсунова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Р.М. в Мажилисе по теме «Предложения к проекту нового Налогового кодекса»</w:t>
      </w:r>
    </w:p>
    <w:p w14:paraId="00000002" w14:textId="77777777" w:rsidR="00FF5F88" w:rsidRDefault="00FF5F88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00000003" w14:textId="77777777" w:rsidR="00FF5F88" w:rsidRDefault="000126DD" w:rsidP="00CD20C3">
      <w:pPr>
        <w:spacing w:before="240" w:after="24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2.</w:t>
      </w:r>
    </w:p>
    <w:p w14:paraId="00000004" w14:textId="77777777" w:rsidR="00FF5F88" w:rsidRDefault="000126DD" w:rsidP="00CD20C3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Начну с вызовов налоговой системы. Считаю, что новый Налоговый кодекс должен быть направлен на решение накопившихся структурных проблем.</w:t>
      </w:r>
    </w:p>
    <w:p w14:paraId="00000005" w14:textId="77777777" w:rsidR="00FF5F88" w:rsidRDefault="000126DD" w:rsidP="00CD20C3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>Первое</w:t>
      </w:r>
      <w:r>
        <w:rPr>
          <w:rFonts w:ascii="Arial" w:eastAsia="Arial" w:hAnsi="Arial" w:cs="Arial"/>
          <w:sz w:val="28"/>
          <w:szCs w:val="28"/>
        </w:rPr>
        <w:t>. Низкая собираемость налогов</w:t>
      </w:r>
    </w:p>
    <w:p w14:paraId="00000006" w14:textId="77777777" w:rsidR="00FF5F88" w:rsidRDefault="000126DD" w:rsidP="00CD20C3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Налоговые поступления по отношению к ВВП составляют всего 21%, без учета не нефтяных налогов – 13%. Собираемость налогов существенно ниже, чем в странах ОЭСР, России и даже Грузии, где одни из самых низких налогов в мире. Причина низкой собираемости не только в низких ставках, но и в слабом администрировании.</w:t>
      </w:r>
    </w:p>
    <w:p w14:paraId="00000007" w14:textId="77777777" w:rsidR="00FF5F88" w:rsidRDefault="000126DD" w:rsidP="00CD20C3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>Второе</w:t>
      </w:r>
      <w:r>
        <w:rPr>
          <w:rFonts w:ascii="Arial" w:eastAsia="Arial" w:hAnsi="Arial" w:cs="Arial"/>
          <w:sz w:val="28"/>
          <w:szCs w:val="28"/>
        </w:rPr>
        <w:t>. Высокая концентрация налогоплательщиков.</w:t>
      </w:r>
    </w:p>
    <w:p w14:paraId="00000008" w14:textId="77777777" w:rsidR="00FF5F88" w:rsidRDefault="000126DD" w:rsidP="00CD20C3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Основными донорами бюджета является тысяча крупных налогоплательщиков. 69 предприятий уплачивают 70% всех налоговых поступлений. </w:t>
      </w:r>
    </w:p>
    <w:p w14:paraId="00000009" w14:textId="77777777" w:rsidR="00FF5F88" w:rsidRDefault="000126DD" w:rsidP="00CD20C3">
      <w:pPr>
        <w:spacing w:before="240" w:after="24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Слайд 3. </w:t>
      </w:r>
    </w:p>
    <w:p w14:paraId="0000000A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>Третье</w:t>
      </w:r>
      <w:r>
        <w:rPr>
          <w:rFonts w:ascii="Arial" w:eastAsia="Arial" w:hAnsi="Arial" w:cs="Arial"/>
          <w:b/>
          <w:sz w:val="28"/>
          <w:szCs w:val="28"/>
        </w:rPr>
        <w:t xml:space="preserve">. </w:t>
      </w:r>
      <w:r>
        <w:rPr>
          <w:rFonts w:ascii="Arial" w:eastAsia="Arial" w:hAnsi="Arial" w:cs="Arial"/>
          <w:sz w:val="28"/>
          <w:szCs w:val="28"/>
        </w:rPr>
        <w:t>Несбалансированность бюджета.</w:t>
      </w:r>
    </w:p>
    <w:p w14:paraId="0000000B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Бюджет сильно зависит от нефтяных доходов. Ненефтяные доходы покрывают лишь 55% бюджетных расходов. Остальное – это трансферты из Нацфонда, ЭТП на нефть и дефицит бюджета.</w:t>
      </w:r>
    </w:p>
    <w:p w14:paraId="0000000C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4.</w:t>
      </w:r>
    </w:p>
    <w:p w14:paraId="0000000D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>Четвертое</w:t>
      </w:r>
      <w:r>
        <w:rPr>
          <w:rFonts w:ascii="Arial" w:eastAsia="Arial" w:hAnsi="Arial" w:cs="Arial"/>
          <w:sz w:val="28"/>
          <w:szCs w:val="28"/>
        </w:rPr>
        <w:t>. Теневая экономика.</w:t>
      </w:r>
    </w:p>
    <w:p w14:paraId="0000000E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Оценка теневой экономики в 2021 году составила 19,8% ВВП, или 16,5 трлн тенге. По оценке МВФ уровень теневой экономики Казахстана находится на уровне 32,8%. Транспорт, торговля и сельское хозяйство – топ-отраслей по объему теневой экономики</w:t>
      </w:r>
    </w:p>
    <w:p w14:paraId="0000000F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Слайд 5. </w:t>
      </w:r>
    </w:p>
    <w:p w14:paraId="00000010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>Пятое</w:t>
      </w:r>
      <w:r>
        <w:rPr>
          <w:rFonts w:ascii="Arial" w:eastAsia="Arial" w:hAnsi="Arial" w:cs="Arial"/>
          <w:sz w:val="28"/>
          <w:szCs w:val="28"/>
        </w:rPr>
        <w:t xml:space="preserve">. Неформальная занятость. </w:t>
      </w:r>
    </w:p>
    <w:p w14:paraId="00000011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Есть разные оценки. По самым консервативным оценкам более 2 млн занятых не участвуют в накопительной пенсионной системе и системе </w:t>
      </w:r>
      <w:r>
        <w:rPr>
          <w:rFonts w:ascii="Arial" w:eastAsia="Arial" w:hAnsi="Arial" w:cs="Arial"/>
          <w:sz w:val="28"/>
          <w:szCs w:val="28"/>
        </w:rPr>
        <w:lastRenderedPageBreak/>
        <w:t>соцстрахования. До 50% фонда оплаты труда может находиться в тени. Одной из причин неформальной занятости является высокая нагрузка на доходы. На сегодняшний день существует 6 различных налогов и платежей на заработную плату. Суммарная номинальная нагрузка составляет 34,5%. Самозанятый или индивидуальный предприниматель с дохода в виде минимальной заработной платы в 70 000 тенге должен уплатить 14 350 тенге, или 20,5% (7000 тенге – в ЕНПФ, 4900 тенге – в ФСМС, 2450 тенге – в ГФСС).</w:t>
      </w:r>
    </w:p>
    <w:p w14:paraId="00000012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6.</w:t>
      </w:r>
    </w:p>
    <w:p w14:paraId="00000013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Исходя из имеющихся вызовов новый Налоговый кодекс должен быть направлен на решение </w:t>
      </w:r>
      <w:r>
        <w:rPr>
          <w:rFonts w:ascii="Arial" w:eastAsia="Arial" w:hAnsi="Arial" w:cs="Arial"/>
          <w:sz w:val="28"/>
          <w:szCs w:val="28"/>
          <w:u w:val="single"/>
        </w:rPr>
        <w:t>двух больших задач</w:t>
      </w:r>
      <w:r>
        <w:rPr>
          <w:rFonts w:ascii="Arial" w:eastAsia="Arial" w:hAnsi="Arial" w:cs="Arial"/>
          <w:sz w:val="28"/>
          <w:szCs w:val="28"/>
        </w:rPr>
        <w:t>:</w:t>
      </w:r>
    </w:p>
    <w:p w14:paraId="00000014" w14:textId="77777777" w:rsidR="00FF5F88" w:rsidRDefault="000126DD" w:rsidP="00CD20C3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Обеспечение бюджетной устойчивости, то есть увеличение собираемости налогов как минимум до 25%. Источники этого увеличения могут быть разные. И это необязательно повышение налоговых ставок.</w:t>
      </w:r>
    </w:p>
    <w:p w14:paraId="00000015" w14:textId="77777777" w:rsidR="00FF5F88" w:rsidRDefault="000126DD" w:rsidP="00CD20C3">
      <w:pPr>
        <w:numPr>
          <w:ilvl w:val="0"/>
          <w:numId w:val="2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Простая и незаметная уплата налогов за счет поэтапной отмены ФНО и перехода к сервисной налоговой службе.</w:t>
      </w:r>
    </w:p>
    <w:p w14:paraId="00000016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Слайд 7. </w:t>
      </w:r>
    </w:p>
    <w:p w14:paraId="00000017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Если говорить о налоговом потенциале, то наша предварительная оценка - это 5,3 трлн. тенге, что позволит увеличить собираемость налогов до 26% ВВП. Безусловно, нужна тщательная оценка последствий каждого решения.</w:t>
      </w:r>
    </w:p>
    <w:p w14:paraId="00000018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8.</w:t>
      </w:r>
    </w:p>
    <w:p w14:paraId="00000019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МНЭ начат анализ перехода к дифференцированным ставкам КПН. Наш анализ показывает, что текущее финансовое состояние отраслей не позволит увеличить существенно собираемость налогов за счет повышенных ставок КПН. Максимум - 100-150 млрд. тенге. В масштабах общей экономики - это очень маленькие цифры.</w:t>
      </w:r>
    </w:p>
    <w:p w14:paraId="0000001A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10.</w:t>
      </w:r>
    </w:p>
    <w:p w14:paraId="0000001B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Предлагаемая КГД система администрирования е-Тамга при всей своей новизне имеет ключевой недостаток - “замораживание” значительных сумм НДС в экономике страны. Предприниматели будут вынуждены финансировать оборотные средства замороженного НДС, под банковский процент, что повлечет удорожание по всем звеньям цепочки НДС, что в свою очередь вызовет инфляционное давление на экономику страны.</w:t>
      </w:r>
    </w:p>
    <w:p w14:paraId="0000001C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11.</w:t>
      </w:r>
    </w:p>
    <w:p w14:paraId="0000001D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Предлагаемая система администрирования НДС основана на предложенной модели е-Тамга со следующими особенностями: администрирование НДС осуществляется совместно с банками, физическое замораживание сумм НДС заменяется на виртуальную запись.</w:t>
      </w:r>
    </w:p>
    <w:p w14:paraId="0000001E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Это так называемое пятое поколение администрирование НДС.</w:t>
      </w:r>
    </w:p>
    <w:p w14:paraId="0000001F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12.</w:t>
      </w:r>
    </w:p>
    <w:p w14:paraId="00000020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Здесь приведена схема администрирования НДС по звеньям, на которой видно, что физически деньги в полном объеме поступают от покупателя поставщику, осуществляется запись в виртуальном счете. Далее банк ежедневно осуществляет учет записей </w:t>
      </w:r>
      <w:proofErr w:type="spellStart"/>
      <w:r>
        <w:rPr>
          <w:rFonts w:ascii="Arial" w:eastAsia="Arial" w:hAnsi="Arial" w:cs="Arial"/>
          <w:sz w:val="28"/>
          <w:szCs w:val="28"/>
        </w:rPr>
        <w:t>дебитового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и кредитового НДС с последующим </w:t>
      </w:r>
      <w:proofErr w:type="spellStart"/>
      <w:r>
        <w:rPr>
          <w:rFonts w:ascii="Arial" w:eastAsia="Arial" w:hAnsi="Arial" w:cs="Arial"/>
          <w:sz w:val="28"/>
          <w:szCs w:val="28"/>
        </w:rPr>
        <w:t>инфообменом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с КГД. Налоговый период при таком подходе с квартала можно значительно сократить.</w:t>
      </w:r>
    </w:p>
    <w:p w14:paraId="00000021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13.</w:t>
      </w:r>
    </w:p>
    <w:p w14:paraId="00000022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Глава государства поручил оптимизировать специальные налоговые режимы для малого бизнеса. </w:t>
      </w:r>
    </w:p>
    <w:p w14:paraId="00000023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Мы предлагаем сделать ставку на 3 режима:</w:t>
      </w:r>
    </w:p>
    <w:p w14:paraId="00000024" w14:textId="77777777" w:rsidR="00FF5F88" w:rsidRDefault="000126DD" w:rsidP="00CD20C3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Новый льготный режим для </w:t>
      </w:r>
      <w:r>
        <w:rPr>
          <w:rFonts w:ascii="Arial" w:eastAsia="Arial" w:hAnsi="Arial" w:cs="Arial"/>
          <w:b/>
          <w:sz w:val="28"/>
          <w:szCs w:val="28"/>
        </w:rPr>
        <w:t>самозанятых</w:t>
      </w:r>
      <w:r>
        <w:rPr>
          <w:rFonts w:ascii="Arial" w:eastAsia="Arial" w:hAnsi="Arial" w:cs="Arial"/>
          <w:sz w:val="28"/>
          <w:szCs w:val="28"/>
        </w:rPr>
        <w:t xml:space="preserve"> с единым и минимальным налогом в 4%, который можно уплачивать самостоятельно, либо через налогового агента (платформу)</w:t>
      </w:r>
    </w:p>
    <w:p w14:paraId="00000025" w14:textId="77777777" w:rsidR="00FF5F88" w:rsidRDefault="000126DD" w:rsidP="00CD20C3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Упрощенная декларация со ставкой 3%. Сейчас 99% пользователей упрощенного режима не являются плательщиками НДС. Мы предлагаем сделать снизить порог по упрощенке до порога по НДС, то есть сделать его без НДС.</w:t>
      </w:r>
    </w:p>
    <w:p w14:paraId="00000026" w14:textId="77777777" w:rsidR="00FF5F88" w:rsidRDefault="000126DD" w:rsidP="00CD20C3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Оборотный (розничный) налог </w:t>
      </w:r>
      <w:r>
        <w:rPr>
          <w:rFonts w:ascii="Arial" w:eastAsia="Arial" w:hAnsi="Arial" w:cs="Arial"/>
          <w:sz w:val="28"/>
          <w:szCs w:val="28"/>
        </w:rPr>
        <w:t xml:space="preserve">4%/8% с оборотом до 2 млрд. тенге. Наверное, он станет самым популярным режимом для сектора торговли и услуг. </w:t>
      </w:r>
    </w:p>
    <w:p w14:paraId="00000027" w14:textId="77777777" w:rsidR="00FF5F88" w:rsidRDefault="000126DD" w:rsidP="00CD20C3">
      <w:pPr>
        <w:spacing w:after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Помимо этого, в рамках общеустановленного режима создать стимулы за счет </w:t>
      </w:r>
      <w:r>
        <w:rPr>
          <w:rFonts w:ascii="Arial" w:eastAsia="Arial" w:hAnsi="Arial" w:cs="Arial"/>
          <w:b/>
          <w:sz w:val="28"/>
          <w:szCs w:val="28"/>
        </w:rPr>
        <w:t xml:space="preserve">гарантированных вычетов </w:t>
      </w:r>
      <w:r>
        <w:rPr>
          <w:rFonts w:ascii="Arial" w:eastAsia="Arial" w:hAnsi="Arial" w:cs="Arial"/>
          <w:sz w:val="28"/>
          <w:szCs w:val="28"/>
        </w:rPr>
        <w:t>в первые три года (вместо режима фиксированного вычета.</w:t>
      </w:r>
    </w:p>
    <w:p w14:paraId="00000028" w14:textId="77777777" w:rsidR="00FF5F88" w:rsidRDefault="00FF5F88" w:rsidP="00CD20C3">
      <w:pPr>
        <w:jc w:val="both"/>
        <w:rPr>
          <w:rFonts w:ascii="Arial" w:eastAsia="Arial" w:hAnsi="Arial" w:cs="Arial"/>
          <w:sz w:val="28"/>
          <w:szCs w:val="28"/>
        </w:rPr>
      </w:pPr>
    </w:p>
    <w:p w14:paraId="00000029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14.</w:t>
      </w:r>
    </w:p>
    <w:p w14:paraId="0000002A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Необходимо отметить что в предлагаемом подходе меняется парадигма налогового контроля - смена фокуса с бумажных документов на обработку </w:t>
      </w:r>
      <w:proofErr w:type="spellStart"/>
      <w:r>
        <w:rPr>
          <w:rFonts w:ascii="Arial" w:eastAsia="Arial" w:hAnsi="Arial" w:cs="Arial"/>
          <w:sz w:val="28"/>
          <w:szCs w:val="28"/>
        </w:rPr>
        <w:t>big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data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. </w:t>
      </w:r>
    </w:p>
    <w:p w14:paraId="0000002B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15.</w:t>
      </w:r>
    </w:p>
    <w:p w14:paraId="0000002C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Предлагается поэтапно отменить сдачу налоговой отчетности. Будет осуществляться </w:t>
      </w:r>
      <w:proofErr w:type="spellStart"/>
      <w:r>
        <w:rPr>
          <w:rFonts w:ascii="Arial" w:eastAsia="Arial" w:hAnsi="Arial" w:cs="Arial"/>
          <w:sz w:val="28"/>
          <w:szCs w:val="28"/>
        </w:rPr>
        <w:t>преддекларирование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банками и платформами, что по сути уже сейчас осуществляется. С учетом развития архитектуры горизонтального мониторинга для крупного бизнеса и горизонтального мониторинга LITE для среднего бизнеса впоследствии исчезнет необходимость в сдаче ФНО для них.</w:t>
      </w:r>
    </w:p>
    <w:p w14:paraId="0000002D" w14:textId="77777777" w:rsidR="00FF5F88" w:rsidRDefault="000126DD" w:rsidP="00CD20C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16.</w:t>
      </w:r>
    </w:p>
    <w:p w14:paraId="0000002E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Необходимо внедрить институт источников информации. КГД должно максимально использовать внешние источники, которым доверяет. Это нужно для налогового контроля, категорирования налогоплательщиков и раскрытия полной картины профиля рисков.</w:t>
      </w:r>
    </w:p>
    <w:p w14:paraId="0000002F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Слайд 17.</w:t>
      </w:r>
    </w:p>
    <w:p w14:paraId="00000030" w14:textId="77777777" w:rsidR="00FF5F88" w:rsidRDefault="000126DD" w:rsidP="00CD20C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Профиль риска должен учитывать размер бизнеса. Если это магазин у дома то профиль риска, используемые данные и источники информации одни, если же это крупный недропользователь, то профиль риск совершенно другой. Больше показателей участвуют в категорировании. Таким образом составляется 3Д модель СУР.</w:t>
      </w:r>
    </w:p>
    <w:sectPr w:rsidR="00FF5F8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7EF3"/>
    <w:multiLevelType w:val="multilevel"/>
    <w:tmpl w:val="F2AAF7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3F33408"/>
    <w:multiLevelType w:val="multilevel"/>
    <w:tmpl w:val="962239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70655922">
    <w:abstractNumId w:val="1"/>
  </w:num>
  <w:num w:numId="2" w16cid:durableId="122048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88"/>
    <w:rsid w:val="000126DD"/>
    <w:rsid w:val="00CD20C3"/>
    <w:rsid w:val="00E6169D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8ABB3-2D35-4504-BCE9-BAD1CA18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UoI/bh1KHZs+CH71JDLoVdWJzQ==">AMUW2mUpu3uhBYGVmdJjzzyA2wmpCzyg7bf4aGCLcE/ng9A/HvYl+3dVZtKuNZbr/SDuPugZ+HuIldOJgHvmk4BVgbuEfzGuFPDZQ7RbAA0pk//I+ao69zw=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Zhanat Mussabayev</dc:creator>
  <cp:lastModifiedBy>Microsoft Office User</cp:lastModifiedBy>
  <cp:revision>2</cp:revision>
  <dcterms:created xsi:type="dcterms:W3CDTF">2023-05-04T03:54:00Z</dcterms:created>
  <dcterms:modified xsi:type="dcterms:W3CDTF">2023-05-04T03:54:00Z</dcterms:modified>
</cp:coreProperties>
</file>