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50" w:rsidRPr="009B5973" w:rsidRDefault="009B5973" w:rsidP="00647792">
      <w:pPr>
        <w:spacing w:after="0" w:line="240" w:lineRule="auto"/>
        <w:ind w:firstLine="709"/>
        <w:jc w:val="both"/>
        <w:rPr>
          <w:rFonts w:ascii="Times New Roman" w:hAnsi="Times New Roman" w:cs="Times New Roman"/>
          <w:b/>
          <w:sz w:val="32"/>
          <w:szCs w:val="32"/>
          <w:lang w:val="kk-KZ"/>
        </w:rPr>
      </w:pPr>
      <w:bookmarkStart w:id="0" w:name="_GoBack"/>
      <w:bookmarkEnd w:id="0"/>
      <w:r w:rsidRPr="009B5973">
        <w:rPr>
          <w:rFonts w:ascii="Times New Roman" w:eastAsia="Calibri" w:hAnsi="Times New Roman" w:cs="Times New Roman"/>
          <w:b/>
          <w:sz w:val="32"/>
          <w:szCs w:val="32"/>
          <w:shd w:val="clear" w:color="auto" w:fill="FFFFFF"/>
          <w:lang w:val="kk-KZ"/>
        </w:rPr>
        <w:t xml:space="preserve">Ең негізгі мәселелердің бірі –  Каспий теңізі айдынын бақылау мен экологиялық жағдайына мониторинг жасау </w:t>
      </w:r>
    </w:p>
    <w:p w:rsidR="00F7698E" w:rsidRDefault="00F7698E" w:rsidP="00F7698E">
      <w:pPr>
        <w:spacing w:after="0" w:line="240" w:lineRule="auto"/>
        <w:ind w:firstLine="540"/>
        <w:jc w:val="right"/>
        <w:rPr>
          <w:rFonts w:ascii="Times New Roman" w:hAnsi="Times New Roman"/>
          <w:i/>
          <w:sz w:val="32"/>
          <w:szCs w:val="32"/>
          <w:lang w:val="kk-KZ"/>
        </w:rPr>
      </w:pPr>
    </w:p>
    <w:p w:rsidR="00F7698E" w:rsidRDefault="00F7698E" w:rsidP="00F7698E">
      <w:pPr>
        <w:spacing w:after="0" w:line="240" w:lineRule="auto"/>
        <w:ind w:firstLine="540"/>
        <w:jc w:val="right"/>
        <w:rPr>
          <w:rFonts w:ascii="Times New Roman" w:hAnsi="Times New Roman"/>
          <w:i/>
          <w:sz w:val="32"/>
          <w:szCs w:val="32"/>
          <w:lang w:val="kk-KZ"/>
        </w:rPr>
      </w:pPr>
      <w:r>
        <w:rPr>
          <w:rFonts w:ascii="Times New Roman" w:hAnsi="Times New Roman"/>
          <w:i/>
          <w:sz w:val="32"/>
          <w:szCs w:val="32"/>
          <w:lang w:val="kk-KZ"/>
        </w:rPr>
        <w:t>Астана, 3 мамыр, Мәжіліс Үйі.</w:t>
      </w:r>
    </w:p>
    <w:p w:rsidR="00F7698E" w:rsidRDefault="00F7698E" w:rsidP="00F7698E">
      <w:pPr>
        <w:spacing w:after="0" w:line="240" w:lineRule="auto"/>
        <w:ind w:firstLine="540"/>
        <w:jc w:val="both"/>
        <w:rPr>
          <w:rFonts w:ascii="Times New Roman" w:hAnsi="Times New Roman"/>
          <w:b/>
          <w:sz w:val="32"/>
          <w:szCs w:val="32"/>
          <w:lang w:val="kk-KZ"/>
        </w:rPr>
      </w:pPr>
      <w:r>
        <w:rPr>
          <w:rFonts w:ascii="Times New Roman" w:hAnsi="Times New Roman"/>
          <w:b/>
          <w:sz w:val="32"/>
          <w:szCs w:val="32"/>
          <w:lang w:val="kk-KZ"/>
        </w:rPr>
        <w:t>Мәжілісте Палата Спикері Нұрлан Нығматулиннің төрағалығымен өткен жалпы отырыста депутат Марат Бопазов Қазақстан Республикасы</w:t>
      </w:r>
      <w:r w:rsidR="00A06B36">
        <w:rPr>
          <w:rFonts w:ascii="Times New Roman" w:hAnsi="Times New Roman"/>
          <w:b/>
          <w:sz w:val="32"/>
          <w:szCs w:val="32"/>
          <w:lang w:val="kk-KZ"/>
        </w:rPr>
        <w:t>ның</w:t>
      </w:r>
      <w:r>
        <w:rPr>
          <w:rFonts w:ascii="Times New Roman" w:hAnsi="Times New Roman"/>
          <w:b/>
          <w:sz w:val="32"/>
          <w:szCs w:val="32"/>
          <w:lang w:val="kk-KZ"/>
        </w:rPr>
        <w:t xml:space="preserve"> Премьер-Министрі</w:t>
      </w:r>
      <w:r w:rsidR="00A06B36">
        <w:rPr>
          <w:rFonts w:ascii="Times New Roman" w:hAnsi="Times New Roman"/>
          <w:b/>
          <w:sz w:val="32"/>
          <w:szCs w:val="32"/>
          <w:lang w:val="kk-KZ"/>
        </w:rPr>
        <w:t xml:space="preserve"> </w:t>
      </w:r>
      <w:r>
        <w:rPr>
          <w:rFonts w:ascii="Times New Roman" w:hAnsi="Times New Roman"/>
          <w:b/>
          <w:sz w:val="32"/>
          <w:szCs w:val="32"/>
          <w:lang w:val="kk-KZ"/>
        </w:rPr>
        <w:t xml:space="preserve"> </w:t>
      </w:r>
      <w:r w:rsidR="00A06B36">
        <w:rPr>
          <w:rFonts w:ascii="Times New Roman" w:hAnsi="Times New Roman"/>
          <w:b/>
          <w:sz w:val="32"/>
          <w:szCs w:val="32"/>
          <w:lang w:val="kk-KZ"/>
        </w:rPr>
        <w:t>Бақытжан Сағынтаевқа</w:t>
      </w:r>
      <w:r>
        <w:rPr>
          <w:rFonts w:ascii="Times New Roman" w:hAnsi="Times New Roman"/>
          <w:b/>
          <w:sz w:val="32"/>
          <w:szCs w:val="32"/>
          <w:lang w:val="kk-KZ"/>
        </w:rPr>
        <w:t xml:space="preserve">  депутаттық сауал жолдады.</w:t>
      </w:r>
    </w:p>
    <w:p w:rsidR="006616B1" w:rsidRPr="00255067" w:rsidRDefault="00AD6468"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w:t>
      </w:r>
      <w:r w:rsidR="006616B1">
        <w:rPr>
          <w:rFonts w:ascii="Times New Roman" w:eastAsia="Calibri" w:hAnsi="Times New Roman" w:cs="Times New Roman"/>
          <w:sz w:val="28"/>
          <w:szCs w:val="28"/>
          <w:shd w:val="clear" w:color="auto" w:fill="FFFFFF"/>
          <w:lang w:val="kk-KZ"/>
        </w:rPr>
        <w:t>Каспий ө</w:t>
      </w:r>
      <w:r w:rsidR="006616B1" w:rsidRPr="00255067">
        <w:rPr>
          <w:rFonts w:ascii="Times New Roman" w:eastAsia="Calibri" w:hAnsi="Times New Roman" w:cs="Times New Roman"/>
          <w:sz w:val="28"/>
          <w:szCs w:val="28"/>
          <w:shd w:val="clear" w:color="auto" w:fill="FFFFFF"/>
          <w:lang w:val="kk-KZ"/>
        </w:rPr>
        <w:t>ңір</w:t>
      </w:r>
      <w:r w:rsidR="006616B1">
        <w:rPr>
          <w:rFonts w:ascii="Times New Roman" w:eastAsia="Calibri" w:hAnsi="Times New Roman" w:cs="Times New Roman"/>
          <w:sz w:val="28"/>
          <w:szCs w:val="28"/>
          <w:shd w:val="clear" w:color="auto" w:fill="FFFFFF"/>
          <w:lang w:val="kk-KZ"/>
        </w:rPr>
        <w:t>ін</w:t>
      </w:r>
      <w:r w:rsidR="006616B1" w:rsidRPr="00255067">
        <w:rPr>
          <w:rFonts w:ascii="Times New Roman" w:eastAsia="Calibri" w:hAnsi="Times New Roman" w:cs="Times New Roman"/>
          <w:sz w:val="28"/>
          <w:szCs w:val="28"/>
          <w:shd w:val="clear" w:color="auto" w:fill="FFFFFF"/>
          <w:lang w:val="kk-KZ"/>
        </w:rPr>
        <w:t xml:space="preserve">ің бірегейлігі мен геосаясаттық маңыздылығын ескере отырып ең негізгі мәселелердің бірі Каспий теңізі айдынын бақылау мен экологиялық жағдайына мониторинг жасау болып табылады. </w:t>
      </w:r>
    </w:p>
    <w:p w:rsidR="006616B1" w:rsidRPr="00255067" w:rsidRDefault="006616B1"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sidRPr="00255067">
        <w:rPr>
          <w:rFonts w:ascii="Times New Roman" w:eastAsia="Calibri" w:hAnsi="Times New Roman" w:cs="Times New Roman"/>
          <w:sz w:val="28"/>
          <w:szCs w:val="28"/>
          <w:shd w:val="clear" w:color="auto" w:fill="FFFFFF"/>
          <w:lang w:val="kk-KZ"/>
        </w:rPr>
        <w:t xml:space="preserve">Сондай-ақ, Тегеран конвенциясының жігерлі саяси шешімдері де Каспий теңізін қорғау проблемаларының маңыздылығы мен экологиялық ахуалын жақсарту қажеттілігін атап өтті, және Каспий теңізінің экологиялық қауіпсіздігін қамтамасыз ету жөніндегі Каспий маңы елдерінің негізгі кешенді тәсілдемесі экологиялық мониторингтің заманауи технологияларын пайдалану болып табылады. </w:t>
      </w:r>
    </w:p>
    <w:p w:rsidR="006616B1" w:rsidRPr="00255067" w:rsidRDefault="006616B1"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sidRPr="00255067">
        <w:rPr>
          <w:rFonts w:ascii="Times New Roman" w:eastAsia="Calibri" w:hAnsi="Times New Roman" w:cs="Times New Roman"/>
          <w:sz w:val="28"/>
          <w:szCs w:val="28"/>
          <w:shd w:val="clear" w:color="auto" w:fill="FFFFFF"/>
          <w:lang w:val="kk-KZ"/>
        </w:rPr>
        <w:t xml:space="preserve">Каспий өңірінің бірегей табиғи байлығын ескере отырып, өңірдің экологиялық тұрақтылығы пен биоалуантүрлілігін сақтаудың міндеттерін шешуде мемлекеттік тетіктерді пайдалануды қажет болады.              </w:t>
      </w:r>
    </w:p>
    <w:p w:rsidR="006616B1" w:rsidRPr="00255067" w:rsidRDefault="006616B1"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sidRPr="00255067">
        <w:rPr>
          <w:rFonts w:ascii="Times New Roman" w:eastAsia="Calibri" w:hAnsi="Times New Roman" w:cs="Times New Roman"/>
          <w:sz w:val="28"/>
          <w:szCs w:val="28"/>
          <w:shd w:val="clear" w:color="auto" w:fill="FFFFFF"/>
          <w:lang w:val="kk-KZ"/>
        </w:rPr>
        <w:t xml:space="preserve">Каспий теңізінің табиғи экологиялық жүйесін және антропогенді құрамдас бөлігінің өріс алуын мониторингтау мен зерттеу кезінде </w:t>
      </w:r>
      <w:r w:rsidRPr="00255067">
        <w:rPr>
          <w:rFonts w:ascii="Times New Roman" w:eastAsia="Calibri" w:hAnsi="Times New Roman" w:cs="Times New Roman"/>
          <w:b/>
          <w:sz w:val="28"/>
          <w:szCs w:val="28"/>
          <w:u w:val="single"/>
          <w:shd w:val="clear" w:color="auto" w:fill="FFFFFF"/>
          <w:lang w:val="kk-KZ"/>
        </w:rPr>
        <w:t xml:space="preserve">Жерді қашықтықтан барлау мағлұматтарын пайдалану (бұдан әрі – ЖҚБ) </w:t>
      </w:r>
      <w:r w:rsidRPr="00255067">
        <w:rPr>
          <w:rFonts w:ascii="Times New Roman" w:eastAsia="Calibri" w:hAnsi="Times New Roman" w:cs="Times New Roman"/>
          <w:sz w:val="28"/>
          <w:szCs w:val="28"/>
          <w:shd w:val="clear" w:color="auto" w:fill="FFFFFF"/>
          <w:lang w:val="kk-KZ"/>
        </w:rPr>
        <w:t xml:space="preserve">кешенділігімен, деректілігімен және дұрыстығымен ерекшеленіп отырғандығын атап өту қажет, және </w:t>
      </w:r>
      <w:r w:rsidRPr="00255067">
        <w:rPr>
          <w:rFonts w:ascii="Times New Roman" w:eastAsia="Calibri" w:hAnsi="Times New Roman" w:cs="Times New Roman"/>
          <w:b/>
          <w:sz w:val="28"/>
          <w:szCs w:val="28"/>
          <w:u w:val="single"/>
          <w:shd w:val="clear" w:color="auto" w:fill="FFFFFF"/>
          <w:lang w:val="kk-KZ"/>
        </w:rPr>
        <w:t>экологиялық жүйенің ахуалын және прессинг аудандарын қадағалау; ықпал етуді бағалау; экологиялық өзгерістерді болжау мен келешегі</w:t>
      </w:r>
      <w:r w:rsidRPr="00255067">
        <w:rPr>
          <w:rFonts w:ascii="Times New Roman" w:eastAsia="Calibri" w:hAnsi="Times New Roman" w:cs="Times New Roman"/>
          <w:sz w:val="28"/>
          <w:szCs w:val="28"/>
          <w:shd w:val="clear" w:color="auto" w:fill="FFFFFF"/>
          <w:lang w:val="kk-KZ"/>
        </w:rPr>
        <w:t xml:space="preserve"> секілді бағыттарда дами алады.  </w:t>
      </w:r>
    </w:p>
    <w:p w:rsidR="006616B1" w:rsidRPr="00255067" w:rsidRDefault="006616B1"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sidRPr="00255067">
        <w:rPr>
          <w:rFonts w:ascii="Times New Roman" w:eastAsia="Calibri" w:hAnsi="Times New Roman" w:cs="Times New Roman"/>
          <w:sz w:val="28"/>
          <w:szCs w:val="28"/>
          <w:shd w:val="clear" w:color="auto" w:fill="FFFFFF"/>
          <w:lang w:val="kk-KZ"/>
        </w:rPr>
        <w:t>Каспий өңірінің жедел геокеңістігін, атап айтқанда жағалық зонасын саралау тұрғысында табиғатты пайдалануды реттеу мен экологиялық қауіпсіздікті камтамасыз ету үшін ғарыштық мониторинг таптырмайтын ақпараттық ресурс болып табылады.</w:t>
      </w:r>
    </w:p>
    <w:p w:rsidR="006616B1" w:rsidRPr="00B937BE" w:rsidRDefault="006616B1" w:rsidP="006616B1">
      <w:pPr>
        <w:spacing w:before="120" w:after="240" w:line="240" w:lineRule="auto"/>
        <w:ind w:firstLineChars="202" w:firstLine="566"/>
        <w:contextualSpacing/>
        <w:jc w:val="both"/>
        <w:rPr>
          <w:rFonts w:ascii="Times New Roman" w:eastAsia="Calibri" w:hAnsi="Times New Roman" w:cs="Times New Roman"/>
          <w:sz w:val="28"/>
          <w:szCs w:val="28"/>
          <w:shd w:val="clear" w:color="auto" w:fill="FFFFFF"/>
          <w:lang w:val="kk-KZ"/>
        </w:rPr>
      </w:pPr>
      <w:r w:rsidRPr="00255067">
        <w:rPr>
          <w:rFonts w:ascii="Times New Roman" w:eastAsia="Calibri" w:hAnsi="Times New Roman" w:cs="Times New Roman"/>
          <w:sz w:val="28"/>
          <w:szCs w:val="28"/>
          <w:shd w:val="clear" w:color="auto" w:fill="FFFFFF"/>
          <w:lang w:val="kk-KZ"/>
        </w:rPr>
        <w:t xml:space="preserve">Сонымен қатар, </w:t>
      </w:r>
      <w:r w:rsidRPr="00255067">
        <w:rPr>
          <w:rFonts w:ascii="Times New Roman" w:eastAsia="Calibri" w:hAnsi="Times New Roman" w:cs="Times New Roman"/>
          <w:b/>
          <w:sz w:val="28"/>
          <w:szCs w:val="28"/>
          <w:u w:val="single"/>
          <w:shd w:val="clear" w:color="auto" w:fill="FFFFFF"/>
          <w:lang w:val="kk-KZ"/>
        </w:rPr>
        <w:t>табиғатты қорғау талаптарын ұстану</w:t>
      </w:r>
      <w:r w:rsidRPr="00255067">
        <w:rPr>
          <w:rFonts w:ascii="Times New Roman" w:eastAsia="Calibri" w:hAnsi="Times New Roman" w:cs="Times New Roman"/>
          <w:sz w:val="28"/>
          <w:szCs w:val="28"/>
          <w:shd w:val="clear" w:color="auto" w:fill="FFFFFF"/>
          <w:lang w:val="kk-KZ"/>
        </w:rPr>
        <w:t xml:space="preserve"> отандық табиғатты пайдал</w:t>
      </w:r>
      <w:r w:rsidR="00AD6468">
        <w:rPr>
          <w:rFonts w:ascii="Times New Roman" w:eastAsia="Calibri" w:hAnsi="Times New Roman" w:cs="Times New Roman"/>
          <w:sz w:val="28"/>
          <w:szCs w:val="28"/>
          <w:shd w:val="clear" w:color="auto" w:fill="FFFFFF"/>
          <w:lang w:val="kk-KZ"/>
        </w:rPr>
        <w:t>ану</w:t>
      </w:r>
      <w:r w:rsidRPr="00255067">
        <w:rPr>
          <w:rFonts w:ascii="Times New Roman" w:eastAsia="Calibri" w:hAnsi="Times New Roman" w:cs="Times New Roman"/>
          <w:sz w:val="28"/>
          <w:szCs w:val="28"/>
          <w:shd w:val="clear" w:color="auto" w:fill="FFFFFF"/>
          <w:lang w:val="kk-KZ"/>
        </w:rPr>
        <w:t xml:space="preserve">шылармен қоса Тегеран конвенциясының қатысушылары үшін де, теңіз айдыны мен жағалық зонаны басқаруды талдау, Каспийдің табиғи экологиялық жүйесінің нашарлауы қарқынын мониторингтау, мұнай шығаруды мониторингтау мен теңіз асты көмірсутегі ресурстарын игеру, рұқсат етілмеген мұнай құбыры ойымдарын анықтау, теңіздің мұз төсемдерін шұғыл мониторингтау, мұнай мен мұнай шығару өнімдерінің апаттық жайылуы, сондай-ақ жергілікті төңіректі инвентаризация есебінде картаға түсіру </w:t>
      </w:r>
      <w:r w:rsidRPr="00255067">
        <w:rPr>
          <w:rFonts w:ascii="Times New Roman" w:eastAsia="Calibri" w:hAnsi="Times New Roman" w:cs="Times New Roman"/>
          <w:b/>
          <w:sz w:val="28"/>
          <w:szCs w:val="28"/>
          <w:u w:val="single"/>
          <w:shd w:val="clear" w:color="auto" w:fill="FFFFFF"/>
          <w:lang w:val="kk-KZ"/>
        </w:rPr>
        <w:t>тек өзекті жерсеріктік ақпарат болған жағдайда мүмкін</w:t>
      </w:r>
      <w:r w:rsidRPr="00255067">
        <w:rPr>
          <w:rFonts w:ascii="Times New Roman" w:eastAsia="Calibri" w:hAnsi="Times New Roman" w:cs="Times New Roman"/>
          <w:sz w:val="28"/>
          <w:szCs w:val="28"/>
          <w:shd w:val="clear" w:color="auto" w:fill="FFFFFF"/>
          <w:lang w:val="kk-KZ"/>
        </w:rPr>
        <w:t xml:space="preserve"> бола алады.</w:t>
      </w:r>
      <w:r>
        <w:rPr>
          <w:rFonts w:ascii="Times New Roman" w:eastAsia="Calibri" w:hAnsi="Times New Roman" w:cs="Times New Roman"/>
          <w:sz w:val="28"/>
          <w:szCs w:val="28"/>
          <w:shd w:val="clear" w:color="auto" w:fill="FFFFFF"/>
          <w:lang w:val="kk-KZ"/>
        </w:rPr>
        <w:t xml:space="preserve">      </w:t>
      </w:r>
    </w:p>
    <w:p w:rsidR="006616B1" w:rsidRDefault="006616B1" w:rsidP="006616B1">
      <w:pPr>
        <w:spacing w:before="120" w:after="240" w:line="240" w:lineRule="auto"/>
        <w:ind w:firstLineChars="202" w:firstLine="566"/>
        <w:contextualSpacing/>
        <w:jc w:val="both"/>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Осыған байланысты, </w:t>
      </w:r>
      <w:r w:rsidRPr="00D00ED4">
        <w:rPr>
          <w:rFonts w:ascii="Times New Roman" w:eastAsia="Calibri" w:hAnsi="Times New Roman" w:cs="Times New Roman"/>
          <w:color w:val="000000"/>
          <w:sz w:val="28"/>
          <w:szCs w:val="28"/>
          <w:shd w:val="clear" w:color="auto" w:fill="FFFFFF"/>
          <w:lang w:val="kk-KZ"/>
        </w:rPr>
        <w:t>Каспий теңізін</w:t>
      </w:r>
      <w:r>
        <w:rPr>
          <w:rFonts w:ascii="Times New Roman" w:eastAsia="Calibri" w:hAnsi="Times New Roman" w:cs="Times New Roman"/>
          <w:color w:val="000000"/>
          <w:sz w:val="28"/>
          <w:szCs w:val="28"/>
          <w:shd w:val="clear" w:color="auto" w:fill="FFFFFF"/>
          <w:lang w:val="kk-KZ"/>
        </w:rPr>
        <w:t>і</w:t>
      </w:r>
      <w:r w:rsidRPr="00D00ED4">
        <w:rPr>
          <w:rFonts w:ascii="Times New Roman" w:eastAsia="Calibri" w:hAnsi="Times New Roman" w:cs="Times New Roman"/>
          <w:color w:val="000000"/>
          <w:sz w:val="28"/>
          <w:szCs w:val="28"/>
          <w:shd w:val="clear" w:color="auto" w:fill="FFFFFF"/>
          <w:lang w:val="kk-KZ"/>
        </w:rPr>
        <w:t>ң қазақстандық бөлігінде мониторингтің жедел жүйесін әзірлеу</w:t>
      </w:r>
      <w:r>
        <w:rPr>
          <w:rFonts w:ascii="Times New Roman" w:eastAsia="Calibri" w:hAnsi="Times New Roman" w:cs="Times New Roman"/>
          <w:color w:val="000000"/>
          <w:sz w:val="28"/>
          <w:szCs w:val="28"/>
          <w:shd w:val="clear" w:color="auto" w:fill="FFFFFF"/>
          <w:lang w:val="kk-KZ"/>
        </w:rPr>
        <w:t xml:space="preserve"> мүмкіндігін қарастыру, сондай-ақ ғарыштық мониторингтің отандық жүйесін одан әрі дамыту жөнінде іс-</w:t>
      </w:r>
      <w:r>
        <w:rPr>
          <w:rFonts w:ascii="Times New Roman" w:eastAsia="Calibri" w:hAnsi="Times New Roman" w:cs="Times New Roman"/>
          <w:color w:val="000000"/>
          <w:sz w:val="28"/>
          <w:szCs w:val="28"/>
          <w:shd w:val="clear" w:color="auto" w:fill="FFFFFF"/>
          <w:lang w:val="kk-KZ"/>
        </w:rPr>
        <w:lastRenderedPageBreak/>
        <w:t xml:space="preserve">шаралар қабылдау туралы мүдделі мемлекеттік </w:t>
      </w:r>
      <w:r w:rsidRPr="00D00ED4">
        <w:rPr>
          <w:rFonts w:ascii="Times New Roman" w:eastAsia="Calibri" w:hAnsi="Times New Roman" w:cs="Times New Roman"/>
          <w:color w:val="000000"/>
          <w:sz w:val="28"/>
          <w:szCs w:val="28"/>
          <w:shd w:val="clear" w:color="auto" w:fill="FFFFFF"/>
          <w:lang w:val="kk-KZ"/>
        </w:rPr>
        <w:t>органдарға</w:t>
      </w:r>
      <w:r>
        <w:rPr>
          <w:rFonts w:ascii="Times New Roman" w:eastAsia="Calibri" w:hAnsi="Times New Roman" w:cs="Times New Roman"/>
          <w:color w:val="000000"/>
          <w:sz w:val="28"/>
          <w:szCs w:val="28"/>
          <w:shd w:val="clear" w:color="auto" w:fill="FFFFFF"/>
          <w:lang w:val="kk-KZ"/>
        </w:rPr>
        <w:t xml:space="preserve"> тапсырма беруіңізді сұраймыз</w:t>
      </w:r>
      <w:r w:rsidR="00FE5C30">
        <w:rPr>
          <w:rFonts w:ascii="Times New Roman" w:eastAsia="Calibri" w:hAnsi="Times New Roman" w:cs="Times New Roman"/>
          <w:color w:val="000000"/>
          <w:sz w:val="28"/>
          <w:szCs w:val="28"/>
          <w:shd w:val="clear" w:color="auto" w:fill="FFFFFF"/>
          <w:lang w:val="kk-KZ"/>
        </w:rPr>
        <w:t>»,- дейді депутат.</w:t>
      </w:r>
    </w:p>
    <w:p w:rsidR="000514DF" w:rsidRDefault="000514DF" w:rsidP="006616B1">
      <w:pPr>
        <w:spacing w:before="120" w:after="240" w:line="240" w:lineRule="auto"/>
        <w:ind w:firstLineChars="202" w:firstLine="566"/>
        <w:contextualSpacing/>
        <w:jc w:val="both"/>
        <w:rPr>
          <w:rFonts w:ascii="Times New Roman" w:eastAsia="Calibri" w:hAnsi="Times New Roman" w:cs="Times New Roman"/>
          <w:color w:val="000000"/>
          <w:sz w:val="28"/>
          <w:szCs w:val="28"/>
          <w:shd w:val="clear" w:color="auto" w:fill="FFFFFF"/>
          <w:lang w:val="kk-KZ"/>
        </w:rPr>
      </w:pPr>
    </w:p>
    <w:p w:rsidR="000514DF" w:rsidRPr="000514DF" w:rsidRDefault="000514DF" w:rsidP="000514DF">
      <w:pPr>
        <w:jc w:val="both"/>
        <w:rPr>
          <w:rFonts w:ascii="Times New Roman" w:hAnsi="Times New Roman" w:cs="Times New Roman"/>
          <w:color w:val="000000"/>
          <w:sz w:val="20"/>
          <w:szCs w:val="20"/>
          <w:lang w:val="kk-KZ"/>
        </w:rPr>
      </w:pPr>
      <w:r w:rsidRPr="000514DF">
        <w:rPr>
          <w:rFonts w:ascii="Times New Roman" w:hAnsi="Times New Roman" w:cs="Times New Roman"/>
          <w:bCs/>
          <w:color w:val="000000"/>
          <w:lang w:val="kk-KZ"/>
        </w:rPr>
        <w:t xml:space="preserve">(Сәуле Досжанова. Т.74-63-01. </w:t>
      </w:r>
      <w:r w:rsidRPr="000514DF">
        <w:rPr>
          <w:rFonts w:ascii="Times New Roman" w:hAnsi="Times New Roman" w:cs="Times New Roman"/>
          <w:lang w:val="kk-KZ"/>
        </w:rPr>
        <w:t xml:space="preserve">Ақпаратты ҚР Парламенті Мәжілісі Аппаратының </w:t>
      </w:r>
      <w:r w:rsidRPr="000514DF">
        <w:rPr>
          <w:rFonts w:ascii="Times New Roman" w:hAnsi="Times New Roman" w:cs="Times New Roman"/>
          <w:bCs/>
          <w:color w:val="000000"/>
          <w:lang w:val="kk-KZ"/>
        </w:rPr>
        <w:t> Баспасөз қызметі таратты.)</w:t>
      </w:r>
    </w:p>
    <w:p w:rsidR="000514DF" w:rsidRDefault="000514DF" w:rsidP="006616B1">
      <w:pPr>
        <w:spacing w:before="120" w:after="240" w:line="240" w:lineRule="auto"/>
        <w:ind w:firstLineChars="202" w:firstLine="566"/>
        <w:contextualSpacing/>
        <w:jc w:val="both"/>
        <w:rPr>
          <w:rFonts w:ascii="Times New Roman" w:eastAsia="Calibri" w:hAnsi="Times New Roman" w:cs="Times New Roman"/>
          <w:color w:val="000000"/>
          <w:sz w:val="28"/>
          <w:szCs w:val="28"/>
          <w:shd w:val="clear" w:color="auto" w:fill="FFFFFF"/>
          <w:lang w:val="kk-KZ"/>
        </w:rPr>
      </w:pPr>
    </w:p>
    <w:sectPr w:rsidR="000514DF" w:rsidSect="00552620">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4F" w:rsidRDefault="00B8424F" w:rsidP="00BC7603">
      <w:pPr>
        <w:spacing w:after="0" w:line="240" w:lineRule="auto"/>
      </w:pPr>
      <w:r>
        <w:separator/>
      </w:r>
    </w:p>
  </w:endnote>
  <w:endnote w:type="continuationSeparator" w:id="0">
    <w:p w:rsidR="00B8424F" w:rsidRDefault="00B8424F" w:rsidP="00BC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124"/>
      <w:docPartObj>
        <w:docPartGallery w:val="Page Numbers (Bottom of Page)"/>
        <w:docPartUnique/>
      </w:docPartObj>
    </w:sdtPr>
    <w:sdtEndPr/>
    <w:sdtContent>
      <w:p w:rsidR="00310500" w:rsidRDefault="002E0398" w:rsidP="003411AE">
        <w:pPr>
          <w:pStyle w:val="a6"/>
          <w:jc w:val="right"/>
        </w:pPr>
        <w:r>
          <w:fldChar w:fldCharType="begin"/>
        </w:r>
        <w:r w:rsidR="00310500">
          <w:instrText xml:space="preserve"> PAGE   \* MERGEFORMAT </w:instrText>
        </w:r>
        <w:r>
          <w:fldChar w:fldCharType="separate"/>
        </w:r>
        <w:r w:rsidR="00A0304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4F" w:rsidRDefault="00B8424F" w:rsidP="00BC7603">
      <w:pPr>
        <w:spacing w:after="0" w:line="240" w:lineRule="auto"/>
      </w:pPr>
      <w:r>
        <w:separator/>
      </w:r>
    </w:p>
  </w:footnote>
  <w:footnote w:type="continuationSeparator" w:id="0">
    <w:p w:rsidR="00B8424F" w:rsidRDefault="00B8424F" w:rsidP="00BC7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46E"/>
    <w:multiLevelType w:val="hybridMultilevel"/>
    <w:tmpl w:val="19AC3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8039FE"/>
    <w:multiLevelType w:val="hybridMultilevel"/>
    <w:tmpl w:val="F9A246F2"/>
    <w:lvl w:ilvl="0" w:tplc="50960B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402F"/>
    <w:rsid w:val="000066B4"/>
    <w:rsid w:val="000151F8"/>
    <w:rsid w:val="0003612E"/>
    <w:rsid w:val="000408DA"/>
    <w:rsid w:val="00043A1B"/>
    <w:rsid w:val="000514DF"/>
    <w:rsid w:val="00060BFE"/>
    <w:rsid w:val="00064473"/>
    <w:rsid w:val="0007123A"/>
    <w:rsid w:val="00085CA1"/>
    <w:rsid w:val="000A0806"/>
    <w:rsid w:val="000B12BF"/>
    <w:rsid w:val="000B466A"/>
    <w:rsid w:val="000B5CE1"/>
    <w:rsid w:val="000D18F4"/>
    <w:rsid w:val="000D2894"/>
    <w:rsid w:val="000D3F96"/>
    <w:rsid w:val="000E3B77"/>
    <w:rsid w:val="00103FF6"/>
    <w:rsid w:val="00117169"/>
    <w:rsid w:val="00125364"/>
    <w:rsid w:val="00135571"/>
    <w:rsid w:val="0013702E"/>
    <w:rsid w:val="00192E39"/>
    <w:rsid w:val="00194D26"/>
    <w:rsid w:val="001A019E"/>
    <w:rsid w:val="001A4B3B"/>
    <w:rsid w:val="001A767D"/>
    <w:rsid w:val="001D15EB"/>
    <w:rsid w:val="001E4A97"/>
    <w:rsid w:val="001F154B"/>
    <w:rsid w:val="0020012C"/>
    <w:rsid w:val="00206D69"/>
    <w:rsid w:val="00211B59"/>
    <w:rsid w:val="002274F2"/>
    <w:rsid w:val="0023401A"/>
    <w:rsid w:val="00246731"/>
    <w:rsid w:val="00254FF1"/>
    <w:rsid w:val="00265FCE"/>
    <w:rsid w:val="00287283"/>
    <w:rsid w:val="002C7CEA"/>
    <w:rsid w:val="002E009A"/>
    <w:rsid w:val="002E0398"/>
    <w:rsid w:val="002E4B5D"/>
    <w:rsid w:val="00310500"/>
    <w:rsid w:val="00311086"/>
    <w:rsid w:val="00325963"/>
    <w:rsid w:val="00331529"/>
    <w:rsid w:val="003327A3"/>
    <w:rsid w:val="003411AE"/>
    <w:rsid w:val="00341691"/>
    <w:rsid w:val="00343A12"/>
    <w:rsid w:val="003527C3"/>
    <w:rsid w:val="00353E4C"/>
    <w:rsid w:val="00363E7D"/>
    <w:rsid w:val="00380021"/>
    <w:rsid w:val="003A268B"/>
    <w:rsid w:val="003A2CEE"/>
    <w:rsid w:val="003C3E6C"/>
    <w:rsid w:val="003E12DD"/>
    <w:rsid w:val="003F0138"/>
    <w:rsid w:val="003F3005"/>
    <w:rsid w:val="003F7FA8"/>
    <w:rsid w:val="00402C2D"/>
    <w:rsid w:val="004051E9"/>
    <w:rsid w:val="00423426"/>
    <w:rsid w:val="00424D60"/>
    <w:rsid w:val="00427649"/>
    <w:rsid w:val="00430BEF"/>
    <w:rsid w:val="00433991"/>
    <w:rsid w:val="00433C92"/>
    <w:rsid w:val="004348AF"/>
    <w:rsid w:val="00442FD6"/>
    <w:rsid w:val="00451E4E"/>
    <w:rsid w:val="004532C5"/>
    <w:rsid w:val="00490728"/>
    <w:rsid w:val="004B6EF7"/>
    <w:rsid w:val="004C6C99"/>
    <w:rsid w:val="004E40B1"/>
    <w:rsid w:val="004E6137"/>
    <w:rsid w:val="004F4870"/>
    <w:rsid w:val="00511DD3"/>
    <w:rsid w:val="00517920"/>
    <w:rsid w:val="00521AAE"/>
    <w:rsid w:val="00531305"/>
    <w:rsid w:val="00537F91"/>
    <w:rsid w:val="0054130A"/>
    <w:rsid w:val="005518B7"/>
    <w:rsid w:val="00552620"/>
    <w:rsid w:val="00582065"/>
    <w:rsid w:val="00584CA8"/>
    <w:rsid w:val="00593EE8"/>
    <w:rsid w:val="005A1194"/>
    <w:rsid w:val="005D4055"/>
    <w:rsid w:val="005D6881"/>
    <w:rsid w:val="005D75B7"/>
    <w:rsid w:val="005F1E17"/>
    <w:rsid w:val="0060441F"/>
    <w:rsid w:val="006051A9"/>
    <w:rsid w:val="00624432"/>
    <w:rsid w:val="00634835"/>
    <w:rsid w:val="00636C38"/>
    <w:rsid w:val="00647792"/>
    <w:rsid w:val="006616B1"/>
    <w:rsid w:val="00684812"/>
    <w:rsid w:val="00685698"/>
    <w:rsid w:val="00696A8F"/>
    <w:rsid w:val="006A6FF8"/>
    <w:rsid w:val="006C292D"/>
    <w:rsid w:val="006C7667"/>
    <w:rsid w:val="006F1A99"/>
    <w:rsid w:val="006F3683"/>
    <w:rsid w:val="0072784A"/>
    <w:rsid w:val="00731A93"/>
    <w:rsid w:val="007345FA"/>
    <w:rsid w:val="00757A83"/>
    <w:rsid w:val="007603B8"/>
    <w:rsid w:val="007618A2"/>
    <w:rsid w:val="00774082"/>
    <w:rsid w:val="00777553"/>
    <w:rsid w:val="00795C15"/>
    <w:rsid w:val="00796CAA"/>
    <w:rsid w:val="007B311D"/>
    <w:rsid w:val="007B441C"/>
    <w:rsid w:val="007C0297"/>
    <w:rsid w:val="007C044D"/>
    <w:rsid w:val="007C1237"/>
    <w:rsid w:val="007D4E7B"/>
    <w:rsid w:val="007F0B3E"/>
    <w:rsid w:val="007F1609"/>
    <w:rsid w:val="007F36C8"/>
    <w:rsid w:val="00807762"/>
    <w:rsid w:val="008106A8"/>
    <w:rsid w:val="00815E4C"/>
    <w:rsid w:val="0082127D"/>
    <w:rsid w:val="00824A7E"/>
    <w:rsid w:val="0082708B"/>
    <w:rsid w:val="00841BC5"/>
    <w:rsid w:val="00843CEC"/>
    <w:rsid w:val="00844150"/>
    <w:rsid w:val="00846D3D"/>
    <w:rsid w:val="00850D69"/>
    <w:rsid w:val="00871004"/>
    <w:rsid w:val="00891497"/>
    <w:rsid w:val="008A237F"/>
    <w:rsid w:val="008A57B0"/>
    <w:rsid w:val="008B20C8"/>
    <w:rsid w:val="008C4979"/>
    <w:rsid w:val="0090103E"/>
    <w:rsid w:val="009022C8"/>
    <w:rsid w:val="00911FB0"/>
    <w:rsid w:val="00922916"/>
    <w:rsid w:val="009268C5"/>
    <w:rsid w:val="00932BC1"/>
    <w:rsid w:val="00934ADA"/>
    <w:rsid w:val="0094196D"/>
    <w:rsid w:val="00943BA0"/>
    <w:rsid w:val="009447D4"/>
    <w:rsid w:val="009878DF"/>
    <w:rsid w:val="009A2C5A"/>
    <w:rsid w:val="009A411B"/>
    <w:rsid w:val="009B5973"/>
    <w:rsid w:val="009B6961"/>
    <w:rsid w:val="009E05E9"/>
    <w:rsid w:val="009F69CB"/>
    <w:rsid w:val="00A027B1"/>
    <w:rsid w:val="00A0304B"/>
    <w:rsid w:val="00A06B36"/>
    <w:rsid w:val="00A36F77"/>
    <w:rsid w:val="00A40656"/>
    <w:rsid w:val="00A626D2"/>
    <w:rsid w:val="00A90574"/>
    <w:rsid w:val="00AA00F1"/>
    <w:rsid w:val="00AA08A8"/>
    <w:rsid w:val="00AB1E49"/>
    <w:rsid w:val="00AC064A"/>
    <w:rsid w:val="00AC3516"/>
    <w:rsid w:val="00AC5631"/>
    <w:rsid w:val="00AD33CD"/>
    <w:rsid w:val="00AD6468"/>
    <w:rsid w:val="00B214A4"/>
    <w:rsid w:val="00B23652"/>
    <w:rsid w:val="00B359F5"/>
    <w:rsid w:val="00B4503A"/>
    <w:rsid w:val="00B6033C"/>
    <w:rsid w:val="00B608C2"/>
    <w:rsid w:val="00B8424F"/>
    <w:rsid w:val="00B93ADF"/>
    <w:rsid w:val="00BC10D9"/>
    <w:rsid w:val="00BC4A90"/>
    <w:rsid w:val="00BC710A"/>
    <w:rsid w:val="00BC7603"/>
    <w:rsid w:val="00BD5290"/>
    <w:rsid w:val="00BD5AA2"/>
    <w:rsid w:val="00BD771C"/>
    <w:rsid w:val="00BE3E89"/>
    <w:rsid w:val="00BF093A"/>
    <w:rsid w:val="00BF2EE6"/>
    <w:rsid w:val="00C04361"/>
    <w:rsid w:val="00C1035C"/>
    <w:rsid w:val="00C119B5"/>
    <w:rsid w:val="00C21831"/>
    <w:rsid w:val="00C4705A"/>
    <w:rsid w:val="00C47434"/>
    <w:rsid w:val="00C54F59"/>
    <w:rsid w:val="00C91504"/>
    <w:rsid w:val="00CA32DB"/>
    <w:rsid w:val="00CA47F5"/>
    <w:rsid w:val="00CC402F"/>
    <w:rsid w:val="00CC45F1"/>
    <w:rsid w:val="00CD19F0"/>
    <w:rsid w:val="00CD5F8C"/>
    <w:rsid w:val="00CE1651"/>
    <w:rsid w:val="00CE5444"/>
    <w:rsid w:val="00D126CD"/>
    <w:rsid w:val="00D212FB"/>
    <w:rsid w:val="00D43D86"/>
    <w:rsid w:val="00D4727C"/>
    <w:rsid w:val="00D57954"/>
    <w:rsid w:val="00D6637E"/>
    <w:rsid w:val="00D73DF9"/>
    <w:rsid w:val="00D87F08"/>
    <w:rsid w:val="00DA7464"/>
    <w:rsid w:val="00DB0DF5"/>
    <w:rsid w:val="00DB1671"/>
    <w:rsid w:val="00DB5B45"/>
    <w:rsid w:val="00DB62D7"/>
    <w:rsid w:val="00DD2FE8"/>
    <w:rsid w:val="00DD30A9"/>
    <w:rsid w:val="00DE5BEA"/>
    <w:rsid w:val="00DE6938"/>
    <w:rsid w:val="00DF2F1C"/>
    <w:rsid w:val="00DF52AD"/>
    <w:rsid w:val="00DF584A"/>
    <w:rsid w:val="00DF60BD"/>
    <w:rsid w:val="00E102EC"/>
    <w:rsid w:val="00E2339F"/>
    <w:rsid w:val="00E251F7"/>
    <w:rsid w:val="00E312A7"/>
    <w:rsid w:val="00E3199A"/>
    <w:rsid w:val="00E32728"/>
    <w:rsid w:val="00E34496"/>
    <w:rsid w:val="00E3473A"/>
    <w:rsid w:val="00E40646"/>
    <w:rsid w:val="00E55DC8"/>
    <w:rsid w:val="00E85F0B"/>
    <w:rsid w:val="00E951AE"/>
    <w:rsid w:val="00E95733"/>
    <w:rsid w:val="00EB3715"/>
    <w:rsid w:val="00EC0BDC"/>
    <w:rsid w:val="00EE0CFF"/>
    <w:rsid w:val="00F011DF"/>
    <w:rsid w:val="00F16396"/>
    <w:rsid w:val="00F42B10"/>
    <w:rsid w:val="00F604D2"/>
    <w:rsid w:val="00F67A92"/>
    <w:rsid w:val="00F7698E"/>
    <w:rsid w:val="00FA4B1D"/>
    <w:rsid w:val="00FA5ECE"/>
    <w:rsid w:val="00FB17C0"/>
    <w:rsid w:val="00FD2B64"/>
    <w:rsid w:val="00FE0EF8"/>
    <w:rsid w:val="00FE5C30"/>
    <w:rsid w:val="00FE5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BE735-1C22-406C-BC2B-F4406F91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6CD"/>
    <w:pPr>
      <w:ind w:left="720"/>
      <w:contextualSpacing/>
    </w:pPr>
  </w:style>
  <w:style w:type="paragraph" w:styleId="a4">
    <w:name w:val="header"/>
    <w:basedOn w:val="a"/>
    <w:link w:val="a5"/>
    <w:uiPriority w:val="99"/>
    <w:unhideWhenUsed/>
    <w:rsid w:val="00BC76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7603"/>
  </w:style>
  <w:style w:type="paragraph" w:styleId="a6">
    <w:name w:val="footer"/>
    <w:basedOn w:val="a"/>
    <w:link w:val="a7"/>
    <w:uiPriority w:val="99"/>
    <w:unhideWhenUsed/>
    <w:rsid w:val="00BC76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7603"/>
  </w:style>
  <w:style w:type="table" w:styleId="a8">
    <w:name w:val="Table Grid"/>
    <w:basedOn w:val="a1"/>
    <w:uiPriority w:val="59"/>
    <w:rsid w:val="0025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36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36C8"/>
    <w:rPr>
      <w:rFonts w:ascii="Tahoma" w:hAnsi="Tahoma" w:cs="Tahoma"/>
      <w:sz w:val="16"/>
      <w:szCs w:val="16"/>
    </w:rPr>
  </w:style>
  <w:style w:type="character" w:customStyle="1" w:styleId="apple-converted-space">
    <w:name w:val="apple-converted-space"/>
    <w:basedOn w:val="a0"/>
    <w:rsid w:val="0068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AE8E-FCA7-497B-A049-10D696AB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cp:revision>
  <cp:lastPrinted>2017-05-02T04:32:00Z</cp:lastPrinted>
  <dcterms:created xsi:type="dcterms:W3CDTF">2016-11-25T04:57:00Z</dcterms:created>
  <dcterms:modified xsi:type="dcterms:W3CDTF">2017-05-03T08:36:00Z</dcterms:modified>
</cp:coreProperties>
</file>