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E66" w:rsidRPr="001C3E66" w:rsidRDefault="001C3E66" w:rsidP="001C3E66">
      <w:pPr>
        <w:pBdr>
          <w:bottom w:val="single" w:sz="4" w:space="31" w:color="FFFFFF"/>
        </w:pBdr>
        <w:tabs>
          <w:tab w:val="left" w:pos="0"/>
        </w:tabs>
        <w:spacing w:after="0"/>
        <w:contextualSpacing/>
        <w:jc w:val="both"/>
        <w:rPr>
          <w:rFonts w:ascii="Times New Roman" w:hAnsi="Times New Roman" w:cs="Times New Roman"/>
          <w:b/>
          <w:sz w:val="32"/>
          <w:szCs w:val="32"/>
          <w:lang w:val="kk-KZ"/>
        </w:rPr>
      </w:pPr>
      <w:r w:rsidRPr="001C3E66">
        <w:rPr>
          <w:rFonts w:ascii="Times New Roman" w:hAnsi="Times New Roman" w:cs="Times New Roman"/>
          <w:b/>
          <w:sz w:val="32"/>
          <w:szCs w:val="32"/>
          <w:lang w:val="kk-KZ"/>
        </w:rPr>
        <w:t>«Азаматтарға арналған үкімет» мемлекеттік корпорациясының жұмысы</w:t>
      </w:r>
      <w:r w:rsidRPr="001C3E66">
        <w:rPr>
          <w:rFonts w:ascii="Times New Roman" w:hAnsi="Times New Roman" w:cs="Times New Roman"/>
          <w:b/>
          <w:sz w:val="32"/>
          <w:szCs w:val="32"/>
          <w:lang w:val="kk-KZ"/>
        </w:rPr>
        <w:t xml:space="preserve"> неге</w:t>
      </w:r>
      <w:r w:rsidRPr="001C3E66">
        <w:rPr>
          <w:rFonts w:ascii="Times New Roman" w:hAnsi="Times New Roman" w:cs="Times New Roman"/>
          <w:b/>
          <w:sz w:val="32"/>
          <w:szCs w:val="32"/>
          <w:lang w:val="kk-KZ"/>
        </w:rPr>
        <w:t xml:space="preserve"> әлі бір жүйеге келтіріл</w:t>
      </w:r>
      <w:r w:rsidRPr="001C3E66">
        <w:rPr>
          <w:rFonts w:ascii="Times New Roman" w:hAnsi="Times New Roman" w:cs="Times New Roman"/>
          <w:b/>
          <w:sz w:val="32"/>
          <w:szCs w:val="32"/>
          <w:lang w:val="kk-KZ"/>
        </w:rPr>
        <w:t xml:space="preserve">меген </w:t>
      </w:r>
    </w:p>
    <w:p w:rsidR="00BD3ACA" w:rsidRDefault="00BD3ACA" w:rsidP="00BD3ACA">
      <w:pPr>
        <w:pStyle w:val="3"/>
        <w:shd w:val="clear" w:color="auto" w:fill="FFFFFF"/>
        <w:spacing w:before="0" w:beforeAutospacing="0" w:after="0" w:afterAutospacing="0"/>
        <w:rPr>
          <w:b w:val="0"/>
          <w:i/>
          <w:sz w:val="32"/>
          <w:szCs w:val="32"/>
          <w:lang w:val="kk-KZ"/>
        </w:rPr>
      </w:pPr>
    </w:p>
    <w:p w:rsidR="00E20FC0" w:rsidRDefault="00E20FC0" w:rsidP="00E20FC0">
      <w:pPr>
        <w:pStyle w:val="3"/>
        <w:shd w:val="clear" w:color="auto" w:fill="FFFFFF"/>
        <w:spacing w:before="0" w:beforeAutospacing="0" w:after="0" w:afterAutospacing="0"/>
        <w:jc w:val="right"/>
        <w:rPr>
          <w:b w:val="0"/>
          <w:i/>
          <w:sz w:val="32"/>
          <w:szCs w:val="32"/>
          <w:lang w:val="kk-KZ"/>
        </w:rPr>
      </w:pPr>
      <w:r>
        <w:rPr>
          <w:b w:val="0"/>
          <w:i/>
          <w:sz w:val="32"/>
          <w:szCs w:val="32"/>
          <w:lang w:val="kk-KZ"/>
        </w:rPr>
        <w:t xml:space="preserve">Астана, </w:t>
      </w:r>
      <w:r>
        <w:rPr>
          <w:b w:val="0"/>
          <w:i/>
          <w:sz w:val="32"/>
          <w:szCs w:val="32"/>
          <w:lang w:val="kk-KZ"/>
        </w:rPr>
        <w:t>17 мамыр,</w:t>
      </w:r>
      <w:r>
        <w:rPr>
          <w:b w:val="0"/>
          <w:i/>
          <w:sz w:val="32"/>
          <w:szCs w:val="32"/>
          <w:lang w:val="kk-KZ"/>
        </w:rPr>
        <w:t xml:space="preserve"> Мәжіліс Үйі.</w:t>
      </w:r>
      <w:bookmarkStart w:id="0" w:name="_GoBack"/>
      <w:bookmarkEnd w:id="0"/>
    </w:p>
    <w:p w:rsidR="00E20FC0" w:rsidRDefault="00E20FC0" w:rsidP="00E20FC0">
      <w:pPr>
        <w:ind w:firstLine="540"/>
        <w:jc w:val="both"/>
        <w:rPr>
          <w:rFonts w:ascii="Times New Roman" w:hAnsi="Times New Roman" w:cs="Times New Roman"/>
          <w:b/>
          <w:sz w:val="32"/>
          <w:szCs w:val="32"/>
          <w:lang w:val="kk-KZ"/>
        </w:rPr>
      </w:pPr>
      <w:r w:rsidRPr="006E6486">
        <w:rPr>
          <w:rFonts w:ascii="Times New Roman" w:hAnsi="Times New Roman" w:cs="Times New Roman"/>
          <w:b/>
          <w:sz w:val="32"/>
          <w:szCs w:val="32"/>
          <w:lang w:val="kk-KZ"/>
        </w:rPr>
        <w:t xml:space="preserve">Мәжілісте Палата Спикері Нұрлан Нығматулиннің төрағалығымен өткен жалпы отырыста депутат </w:t>
      </w:r>
      <w:r>
        <w:rPr>
          <w:rFonts w:ascii="Times New Roman" w:hAnsi="Times New Roman" w:cs="Times New Roman"/>
          <w:b/>
          <w:sz w:val="32"/>
          <w:szCs w:val="32"/>
          <w:lang w:val="kk-KZ"/>
        </w:rPr>
        <w:t xml:space="preserve">Кәрібай Мұсырман </w:t>
      </w:r>
      <w:r w:rsidRPr="006E6486">
        <w:rPr>
          <w:rFonts w:ascii="Times New Roman" w:hAnsi="Times New Roman" w:cs="Times New Roman"/>
          <w:b/>
          <w:sz w:val="32"/>
          <w:szCs w:val="32"/>
          <w:lang w:val="kk-KZ"/>
        </w:rPr>
        <w:t>Қазақстан Республикасы</w:t>
      </w:r>
      <w:r>
        <w:rPr>
          <w:rFonts w:ascii="Times New Roman" w:hAnsi="Times New Roman" w:cs="Times New Roman"/>
          <w:b/>
          <w:sz w:val="32"/>
          <w:szCs w:val="32"/>
          <w:lang w:val="kk-KZ"/>
        </w:rPr>
        <w:t xml:space="preserve">ның </w:t>
      </w:r>
      <w:r w:rsidR="000941D9">
        <w:rPr>
          <w:rFonts w:ascii="Times New Roman" w:hAnsi="Times New Roman" w:cs="Times New Roman"/>
          <w:b/>
          <w:sz w:val="32"/>
          <w:szCs w:val="32"/>
          <w:lang w:val="kk-KZ"/>
        </w:rPr>
        <w:t xml:space="preserve">Премьер-Министрі Бақытжан Сағынтаевқа </w:t>
      </w:r>
      <w:r w:rsidRPr="006E6486">
        <w:rPr>
          <w:rFonts w:ascii="Times New Roman" w:hAnsi="Times New Roman" w:cs="Times New Roman"/>
          <w:b/>
          <w:sz w:val="32"/>
          <w:szCs w:val="32"/>
          <w:lang w:val="kk-KZ"/>
        </w:rPr>
        <w:t>депутаттық сауал жолдады.</w:t>
      </w:r>
    </w:p>
    <w:p w:rsidR="00713F8F" w:rsidRPr="00842A66" w:rsidRDefault="00713F8F" w:rsidP="00713F8F">
      <w:pPr>
        <w:tabs>
          <w:tab w:val="left" w:pos="709"/>
          <w:tab w:val="left" w:pos="851"/>
        </w:tabs>
        <w:spacing w:after="0"/>
        <w:ind w:firstLine="709"/>
        <w:jc w:val="both"/>
        <w:rPr>
          <w:rFonts w:ascii="Times New Roman" w:hAnsi="Times New Roman" w:cs="Times New Roman"/>
          <w:sz w:val="28"/>
          <w:szCs w:val="28"/>
          <w:lang w:val="kk-KZ"/>
        </w:rPr>
      </w:pPr>
      <w:r w:rsidRPr="00842A66">
        <w:rPr>
          <w:rStyle w:val="a3"/>
          <w:rFonts w:ascii="Times New Roman" w:hAnsi="Times New Roman" w:cs="Times New Roman"/>
          <w:sz w:val="28"/>
          <w:szCs w:val="28"/>
          <w:lang w:val="kk-KZ"/>
        </w:rPr>
        <w:t xml:space="preserve">Халыққа мемлекеттік қызметтерді «Бір терезе» қағидатымен көрсетіп, бюрократтық әуре-сарсаңды азайту және </w:t>
      </w:r>
      <w:r>
        <w:rPr>
          <w:rStyle w:val="a3"/>
          <w:rFonts w:ascii="Times New Roman" w:hAnsi="Times New Roman" w:cs="Times New Roman"/>
          <w:sz w:val="28"/>
          <w:szCs w:val="28"/>
          <w:lang w:val="kk-KZ"/>
        </w:rPr>
        <w:t xml:space="preserve">осы саладағы </w:t>
      </w:r>
      <w:r w:rsidRPr="00842A66">
        <w:rPr>
          <w:rStyle w:val="a3"/>
          <w:rFonts w:ascii="Times New Roman" w:hAnsi="Times New Roman" w:cs="Times New Roman"/>
          <w:sz w:val="28"/>
          <w:szCs w:val="28"/>
          <w:lang w:val="kk-KZ"/>
        </w:rPr>
        <w:t>сыбайлас жемқорлықтың</w:t>
      </w:r>
      <w:r>
        <w:rPr>
          <w:rStyle w:val="a3"/>
          <w:rFonts w:ascii="Times New Roman" w:hAnsi="Times New Roman" w:cs="Times New Roman"/>
          <w:sz w:val="28"/>
          <w:szCs w:val="28"/>
          <w:lang w:val="kk-KZ"/>
        </w:rPr>
        <w:t xml:space="preserve"> алдын алу мақсатында </w:t>
      </w:r>
      <w:r w:rsidRPr="00842A66">
        <w:rPr>
          <w:rStyle w:val="a3"/>
          <w:rFonts w:ascii="Times New Roman" w:hAnsi="Times New Roman" w:cs="Times New Roman"/>
          <w:sz w:val="28"/>
          <w:szCs w:val="28"/>
          <w:lang w:val="kk-KZ"/>
        </w:rPr>
        <w:t>Елбасы тапсырмасымен құрылған «Азаматтарға арналған үкімет» мемлекеттік корпорациясы қазіргі</w:t>
      </w:r>
      <w:r w:rsidRPr="00842A66">
        <w:rPr>
          <w:rFonts w:ascii="Times New Roman" w:hAnsi="Times New Roman" w:cs="Times New Roman"/>
          <w:sz w:val="28"/>
          <w:szCs w:val="28"/>
          <w:lang w:val="kk-KZ"/>
        </w:rPr>
        <w:t xml:space="preserve"> уақытта 723 мемлекеттік қызмет</w:t>
      </w:r>
      <w:r>
        <w:rPr>
          <w:rFonts w:ascii="Times New Roman" w:hAnsi="Times New Roman" w:cs="Times New Roman"/>
          <w:sz w:val="28"/>
          <w:szCs w:val="28"/>
          <w:lang w:val="kk-KZ"/>
        </w:rPr>
        <w:t>т</w:t>
      </w:r>
      <w:r w:rsidRPr="00842A66">
        <w:rPr>
          <w:rFonts w:ascii="Times New Roman" w:hAnsi="Times New Roman" w:cs="Times New Roman"/>
          <w:sz w:val="28"/>
          <w:szCs w:val="28"/>
          <w:lang w:val="kk-KZ"/>
        </w:rPr>
        <w:t>ің 542-сін атқару үстінде. Алайда, жүргізілген әлеуметтік зерттеулер</w:t>
      </w:r>
      <w:r>
        <w:rPr>
          <w:rFonts w:ascii="Times New Roman" w:hAnsi="Times New Roman" w:cs="Times New Roman"/>
          <w:sz w:val="28"/>
          <w:szCs w:val="28"/>
          <w:lang w:val="kk-KZ"/>
        </w:rPr>
        <w:t xml:space="preserve"> </w:t>
      </w:r>
      <w:r w:rsidRPr="00842A66">
        <w:rPr>
          <w:rFonts w:ascii="Times New Roman" w:hAnsi="Times New Roman" w:cs="Times New Roman"/>
          <w:sz w:val="28"/>
          <w:szCs w:val="28"/>
          <w:lang w:val="kk-KZ"/>
        </w:rPr>
        <w:t xml:space="preserve">көрсеткеніндей, тұрғындардың 85 пайыздайы ғана көрсетілген мемлекеттік қызметтердің сапасына қанағаттанушылық білдірген. Мұның өзі жергілікті жерлердегі Халыққа қызмет көрсету орталықтарының жұмысына көңілдері толмайтын азаматтар саны әлі де </w:t>
      </w:r>
      <w:r>
        <w:rPr>
          <w:rFonts w:ascii="Times New Roman" w:hAnsi="Times New Roman" w:cs="Times New Roman"/>
          <w:sz w:val="28"/>
          <w:szCs w:val="28"/>
          <w:lang w:val="kk-KZ"/>
        </w:rPr>
        <w:t>аз еместігін</w:t>
      </w:r>
      <w:r w:rsidRPr="00842A66">
        <w:rPr>
          <w:rFonts w:ascii="Times New Roman" w:hAnsi="Times New Roman" w:cs="Times New Roman"/>
          <w:sz w:val="28"/>
          <w:szCs w:val="28"/>
          <w:lang w:val="kk-KZ"/>
        </w:rPr>
        <w:t xml:space="preserve"> аңғартады.</w:t>
      </w: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sz w:val="28"/>
          <w:szCs w:val="28"/>
          <w:lang w:val="kk-KZ"/>
        </w:rPr>
      </w:pPr>
      <w:r w:rsidRPr="00842A66">
        <w:rPr>
          <w:rFonts w:ascii="Times New Roman" w:hAnsi="Times New Roman" w:cs="Times New Roman"/>
          <w:sz w:val="28"/>
          <w:szCs w:val="28"/>
          <w:lang w:val="kk-KZ"/>
        </w:rPr>
        <w:t xml:space="preserve"> </w:t>
      </w:r>
      <w:r w:rsidRPr="00842A66">
        <w:rPr>
          <w:rFonts w:ascii="Times New Roman" w:hAnsi="Times New Roman" w:cs="Times New Roman"/>
          <w:sz w:val="28"/>
          <w:szCs w:val="28"/>
          <w:lang w:val="kk-KZ"/>
        </w:rPr>
        <w:tab/>
        <w:t xml:space="preserve">Мәселен, қарапайым адамдар өздерінің сатып алған </w:t>
      </w:r>
      <w:r>
        <w:rPr>
          <w:rFonts w:ascii="Times New Roman" w:hAnsi="Times New Roman" w:cs="Times New Roman"/>
          <w:sz w:val="28"/>
          <w:szCs w:val="28"/>
          <w:lang w:val="kk-KZ"/>
        </w:rPr>
        <w:t xml:space="preserve">жекеменшік </w:t>
      </w:r>
      <w:r w:rsidRPr="00842A66">
        <w:rPr>
          <w:rFonts w:ascii="Times New Roman" w:hAnsi="Times New Roman" w:cs="Times New Roman"/>
          <w:sz w:val="28"/>
          <w:szCs w:val="28"/>
          <w:lang w:val="kk-KZ"/>
        </w:rPr>
        <w:t xml:space="preserve">автомобильдерін тіркету және қайта тіркетуге байланысты анықтамалар алу үшін бұрынғысынша жүгірінді болып, әртүрлі мекемелердің табалдырықтарын тоздыруға мәжбүр екендіктерін айтып, шағынғандығын жиі естіп жүрміз. </w:t>
      </w:r>
      <w:r>
        <w:rPr>
          <w:rFonts w:ascii="Times New Roman" w:hAnsi="Times New Roman" w:cs="Times New Roman"/>
          <w:sz w:val="28"/>
          <w:szCs w:val="28"/>
          <w:lang w:val="kk-KZ"/>
        </w:rPr>
        <w:t xml:space="preserve">Тіпті олардың бір анықтаманы алу үшін басқа елді мекенге сапар шегуіне тура келген деректер де бар. </w:t>
      </w:r>
    </w:p>
    <w:p w:rsidR="00713F8F" w:rsidRPr="00842A66" w:rsidRDefault="00713F8F" w:rsidP="00713F8F">
      <w:pPr>
        <w:pBdr>
          <w:bottom w:val="single" w:sz="4" w:space="31" w:color="FFFFFF"/>
        </w:pBdr>
        <w:tabs>
          <w:tab w:val="left" w:pos="0"/>
        </w:tabs>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842A66">
        <w:rPr>
          <w:rFonts w:ascii="Times New Roman" w:hAnsi="Times New Roman" w:cs="Times New Roman"/>
          <w:sz w:val="28"/>
          <w:szCs w:val="28"/>
          <w:lang w:val="kk-KZ"/>
        </w:rPr>
        <w:t xml:space="preserve">Сондай-ақ тұрғындарды </w:t>
      </w:r>
      <w:r>
        <w:rPr>
          <w:rFonts w:ascii="Times New Roman" w:hAnsi="Times New Roman" w:cs="Times New Roman"/>
          <w:sz w:val="28"/>
          <w:szCs w:val="28"/>
          <w:lang w:val="kk-KZ"/>
        </w:rPr>
        <w:t xml:space="preserve">Халыққа қызмет көрсету орталықтары арқылы </w:t>
      </w:r>
      <w:r w:rsidRPr="00842A66">
        <w:rPr>
          <w:rFonts w:ascii="Times New Roman" w:hAnsi="Times New Roman" w:cs="Times New Roman"/>
          <w:sz w:val="28"/>
          <w:szCs w:val="28"/>
          <w:lang w:val="kk-KZ"/>
        </w:rPr>
        <w:t xml:space="preserve">құжаттандыру мен тіркеу бойынша </w:t>
      </w:r>
      <w:r>
        <w:rPr>
          <w:rFonts w:ascii="Times New Roman" w:hAnsi="Times New Roman" w:cs="Times New Roman"/>
          <w:sz w:val="28"/>
          <w:szCs w:val="28"/>
          <w:lang w:val="kk-KZ"/>
        </w:rPr>
        <w:t xml:space="preserve">да </w:t>
      </w:r>
      <w:r w:rsidRPr="00842A66">
        <w:rPr>
          <w:rFonts w:ascii="Times New Roman" w:hAnsi="Times New Roman" w:cs="Times New Roman"/>
          <w:sz w:val="28"/>
          <w:szCs w:val="28"/>
          <w:lang w:val="kk-KZ"/>
        </w:rPr>
        <w:t xml:space="preserve">«жартыкеш» шешім қабылданған болып шықты. </w:t>
      </w:r>
      <w:r>
        <w:rPr>
          <w:rFonts w:ascii="Times New Roman" w:hAnsi="Times New Roman" w:cs="Times New Roman"/>
          <w:sz w:val="28"/>
          <w:szCs w:val="28"/>
          <w:lang w:val="kk-KZ"/>
        </w:rPr>
        <w:t>Атап айтқанда,</w:t>
      </w:r>
      <w:r w:rsidRPr="00842A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оларға </w:t>
      </w:r>
      <w:r w:rsidRPr="00842A66">
        <w:rPr>
          <w:rFonts w:ascii="Times New Roman" w:hAnsi="Times New Roman" w:cs="Times New Roman"/>
          <w:sz w:val="28"/>
          <w:szCs w:val="28"/>
          <w:lang w:val="kk-KZ"/>
        </w:rPr>
        <w:t xml:space="preserve">биылғы жыл басындағы уақытша тіркеуге қатысты у-шудан кейін ғана Ішкі істер министрлігінің ақпараттық жүйесін ішінара пайдалануға мүмкіндік берілген. Бұл «Азаматтарға арналған үкімет» мемлекеттік корпорациясының жұмысы </w:t>
      </w:r>
      <w:r>
        <w:rPr>
          <w:rFonts w:ascii="Times New Roman" w:hAnsi="Times New Roman" w:cs="Times New Roman"/>
          <w:sz w:val="28"/>
          <w:szCs w:val="28"/>
          <w:lang w:val="kk-KZ"/>
        </w:rPr>
        <w:t xml:space="preserve">әлі </w:t>
      </w:r>
      <w:r w:rsidRPr="00842A66">
        <w:rPr>
          <w:rFonts w:ascii="Times New Roman" w:hAnsi="Times New Roman" w:cs="Times New Roman"/>
          <w:sz w:val="28"/>
          <w:szCs w:val="28"/>
          <w:lang w:val="kk-KZ"/>
        </w:rPr>
        <w:t>бір жүйеге келт</w:t>
      </w:r>
      <w:r>
        <w:rPr>
          <w:rFonts w:ascii="Times New Roman" w:hAnsi="Times New Roman" w:cs="Times New Roman"/>
          <w:sz w:val="28"/>
          <w:szCs w:val="28"/>
          <w:lang w:val="kk-KZ"/>
        </w:rPr>
        <w:t>іріліп болмағандығын көрсетеді.</w:t>
      </w: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842A66">
        <w:rPr>
          <w:rFonts w:ascii="Times New Roman" w:hAnsi="Times New Roman" w:cs="Times New Roman"/>
          <w:sz w:val="28"/>
          <w:szCs w:val="28"/>
          <w:lang w:val="kk-KZ"/>
        </w:rPr>
        <w:t xml:space="preserve">Өкінішке қарай, мемлекеттік органдардың ақпараттық жүйелерін интеграциялау ісі </w:t>
      </w:r>
      <w:r>
        <w:rPr>
          <w:rFonts w:ascii="Times New Roman" w:hAnsi="Times New Roman" w:cs="Times New Roman"/>
          <w:sz w:val="28"/>
          <w:szCs w:val="28"/>
          <w:lang w:val="kk-KZ"/>
        </w:rPr>
        <w:t xml:space="preserve">«Бір терезе» қағидаты бойынша жұмыс істейтін Халыққа қызмет көрсету орталықтары құрылғаннан </w:t>
      </w:r>
      <w:r w:rsidRPr="00842A66">
        <w:rPr>
          <w:rFonts w:ascii="Times New Roman" w:hAnsi="Times New Roman" w:cs="Times New Roman"/>
          <w:sz w:val="28"/>
          <w:szCs w:val="28"/>
          <w:lang w:val="kk-KZ"/>
        </w:rPr>
        <w:t xml:space="preserve">бері созбаққа салынып, </w:t>
      </w:r>
      <w:r>
        <w:rPr>
          <w:rFonts w:ascii="Times New Roman" w:hAnsi="Times New Roman" w:cs="Times New Roman"/>
          <w:sz w:val="28"/>
          <w:szCs w:val="28"/>
          <w:lang w:val="kk-KZ"/>
        </w:rPr>
        <w:t>бүгінгі</w:t>
      </w:r>
      <w:r w:rsidRPr="00842A66">
        <w:rPr>
          <w:rFonts w:ascii="Times New Roman" w:hAnsi="Times New Roman" w:cs="Times New Roman"/>
          <w:sz w:val="28"/>
          <w:szCs w:val="28"/>
          <w:lang w:val="kk-KZ"/>
        </w:rPr>
        <w:t xml:space="preserve"> күнге </w:t>
      </w:r>
      <w:r>
        <w:rPr>
          <w:rFonts w:ascii="Times New Roman" w:hAnsi="Times New Roman" w:cs="Times New Roman"/>
          <w:sz w:val="28"/>
          <w:szCs w:val="28"/>
          <w:lang w:val="kk-KZ"/>
        </w:rPr>
        <w:t xml:space="preserve">дейін </w:t>
      </w:r>
      <w:r w:rsidRPr="00842A66">
        <w:rPr>
          <w:rFonts w:ascii="Times New Roman" w:hAnsi="Times New Roman" w:cs="Times New Roman"/>
          <w:sz w:val="28"/>
          <w:szCs w:val="28"/>
          <w:lang w:val="kk-KZ"/>
        </w:rPr>
        <w:t xml:space="preserve">аяқталар емес. Бұл әйгілі мысалдағы «аққу –көкке, шортан – </w:t>
      </w:r>
      <w:r>
        <w:rPr>
          <w:rFonts w:ascii="Times New Roman" w:hAnsi="Times New Roman" w:cs="Times New Roman"/>
          <w:sz w:val="28"/>
          <w:szCs w:val="28"/>
          <w:lang w:val="kk-KZ"/>
        </w:rPr>
        <w:t>көлге,</w:t>
      </w:r>
      <w:r w:rsidRPr="00842A66">
        <w:rPr>
          <w:rFonts w:ascii="Times New Roman" w:hAnsi="Times New Roman" w:cs="Times New Roman"/>
          <w:sz w:val="28"/>
          <w:szCs w:val="28"/>
          <w:lang w:val="kk-KZ"/>
        </w:rPr>
        <w:t xml:space="preserve"> шаян жерге тартып, жүк орнынан </w:t>
      </w:r>
      <w:r>
        <w:rPr>
          <w:rFonts w:ascii="Times New Roman" w:hAnsi="Times New Roman" w:cs="Times New Roman"/>
          <w:sz w:val="28"/>
          <w:szCs w:val="28"/>
          <w:lang w:val="kk-KZ"/>
        </w:rPr>
        <w:t>мызғымай</w:t>
      </w:r>
      <w:r w:rsidRPr="00842A66">
        <w:rPr>
          <w:rFonts w:ascii="Times New Roman" w:hAnsi="Times New Roman" w:cs="Times New Roman"/>
          <w:sz w:val="28"/>
          <w:szCs w:val="28"/>
          <w:lang w:val="kk-KZ"/>
        </w:rPr>
        <w:t xml:space="preserve"> тұрғандығын» еске түсіреді. </w:t>
      </w:r>
      <w:r w:rsidRPr="00842A66">
        <w:rPr>
          <w:rFonts w:ascii="Times New Roman" w:hAnsi="Times New Roman" w:cs="Times New Roman"/>
          <w:sz w:val="28"/>
          <w:szCs w:val="28"/>
          <w:lang w:val="kk-KZ"/>
        </w:rPr>
        <w:lastRenderedPageBreak/>
        <w:t>Сондықтан да аталған проблеманы Үкімет деңгейінде қарап, мүдделі министрліктер мен жергілікті атқарушы органдарға тиісті тапсырма беруді ұсынамыз.</w:t>
      </w: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Тағы бір проблема – бүгінде 5 облыстың, атап айтқанда, Алматы, Жамбыл, Қызылорда, Оңтүстік Қазақстан және Шығыс Қазақстан облыстарының орталықтарындағы «Әлеуметтік төлемдердің ведомствоаралық есеп айырысу орталығы» дирекциясы департаменттерінің майдан-кеңселері Ұлттық Банк филиалдарының ғимараттарында орналасқандықтан, олар өз жұмыстарын сағат 9.00-ден 13.00-ге дейін ғана атқара алып отыр. Яғни өзге өңірлердегідей сағат 20.00-ге дейін халыққа қызмет көрсетуге мүмкіндіктері жоқ. Бұл тиісті Халыққа қызмет көрсету орталықтарының ғана емес, тұтастай алғанда, «Азаматтарға арналған үкімет» мемлекеттік корпорациясының жұмысына кедергі келтірумен қатар, тұрғындардың орынды реніштерін туғызып отыр. Осыған орай аталған облыстардың әкімдіктері Әлеуметтік төлемдердің ведомствоаралық есеп айырысу орталықтарының майдан-кеңселерін бөлек шығаруға қажетті ғимараттар тауып берулері қажет. </w:t>
      </w:r>
    </w:p>
    <w:p w:rsidR="00713F8F" w:rsidRPr="00842A66" w:rsidRDefault="00713F8F" w:rsidP="00713F8F">
      <w:pPr>
        <w:pBdr>
          <w:bottom w:val="single" w:sz="4" w:space="31" w:color="FFFFFF"/>
        </w:pBdr>
        <w:tabs>
          <w:tab w:val="left" w:pos="0"/>
        </w:tabs>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Бұған қоса, көлік құралдарын тіркеумен және жүргізушілік куәліктер берумен айналысатын арнаулы мамандандырылған Халыққа қызмет көрсету орталықтары 4 өңірде – Ақмола, Атырау, Батыс Қазақстан және Шығыс Қазақстан облыстарында</w:t>
      </w:r>
      <w:r w:rsidRPr="003702CD">
        <w:rPr>
          <w:rFonts w:ascii="Times New Roman" w:hAnsi="Times New Roman" w:cs="Times New Roman"/>
          <w:sz w:val="28"/>
          <w:szCs w:val="28"/>
          <w:lang w:val="kk-KZ"/>
        </w:rPr>
        <w:t xml:space="preserve"> </w:t>
      </w:r>
      <w:r>
        <w:rPr>
          <w:rFonts w:ascii="Times New Roman" w:hAnsi="Times New Roman" w:cs="Times New Roman"/>
          <w:sz w:val="28"/>
          <w:szCs w:val="28"/>
          <w:lang w:val="kk-KZ"/>
        </w:rPr>
        <w:t>әлі күнге ашылған жоқ. Ал Астана мен Алматы қалаларында осындай екінші орталық ашу қажеттілігі өткір сезіліп отыр.</w:t>
      </w:r>
    </w:p>
    <w:p w:rsidR="00713F8F" w:rsidRDefault="00713F8F" w:rsidP="00713F8F">
      <w:pPr>
        <w:pBdr>
          <w:bottom w:val="single" w:sz="4" w:space="31" w:color="FFFFFF"/>
        </w:pBdr>
        <w:tabs>
          <w:tab w:val="left" w:pos="0"/>
        </w:tabs>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«Азаматтарға арналған үкімет» мемлекеттік корпорациясына жылжымайтын мүлікке құқықты тіркеу және Қазақстан Республикасының азаматтары мен шетелдіктерді тұрғылықты жерлері бойынша тіркеу қызметтерін беретін кез жетті. </w:t>
      </w:r>
    </w:p>
    <w:p w:rsidR="00713F8F" w:rsidRDefault="00713F8F" w:rsidP="00713F8F">
      <w:pPr>
        <w:pBdr>
          <w:bottom w:val="single" w:sz="4" w:space="31" w:color="FFFFFF"/>
        </w:pBdr>
        <w:tabs>
          <w:tab w:val="left" w:pos="0"/>
        </w:tabs>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 тұрғындарын жұмыспен қамтамасыз етуді жақсарту мақсатында Жұмыспен қамту орталықтарын «Азаматтарға арналған үкімет» мемлекеттік корпорациясына орналастыру мәселесін де қарастыру қажет. </w:t>
      </w:r>
    </w:p>
    <w:p w:rsidR="00713F8F" w:rsidRDefault="00713F8F" w:rsidP="00713F8F">
      <w:pPr>
        <w:pBdr>
          <w:bottom w:val="single" w:sz="4" w:space="31" w:color="FFFFFF"/>
        </w:pBdr>
        <w:tabs>
          <w:tab w:val="left" w:pos="0"/>
        </w:tabs>
        <w:spacing w:after="0"/>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Аталмыш корпорация қызметкерлерінің мардымсыз еңбекақысын көбейту мақсатында оның жарғылық қызметіне жарнамалық және агенттік қызметтерді көрсетуді қосу мәселесін де кешіктірмей қарастырған жөн.</w:t>
      </w:r>
    </w:p>
    <w:p w:rsidR="00713F8F" w:rsidRDefault="00713F8F" w:rsidP="00713F8F">
      <w:pPr>
        <w:pBdr>
          <w:bottom w:val="single" w:sz="4" w:space="31" w:color="FFFFFF"/>
        </w:pBdr>
        <w:tabs>
          <w:tab w:val="left" w:pos="0"/>
        </w:tabs>
        <w:spacing w:after="0"/>
        <w:ind w:firstLine="709"/>
        <w:contextualSpacing/>
        <w:jc w:val="both"/>
        <w:rPr>
          <w:rFonts w:ascii="Times New Roman" w:hAnsi="Times New Roman" w:cs="Times New Roman"/>
          <w:b/>
          <w:sz w:val="28"/>
          <w:szCs w:val="28"/>
          <w:lang w:val="kk-KZ"/>
        </w:rPr>
      </w:pPr>
    </w:p>
    <w:p w:rsidR="00BD3ACA" w:rsidRDefault="00BD3ACA" w:rsidP="00BD3ACA">
      <w:pPr>
        <w:jc w:val="both"/>
        <w:rPr>
          <w:b/>
          <w:color w:val="000000"/>
          <w:sz w:val="20"/>
          <w:szCs w:val="20"/>
          <w:lang w:val="kk-KZ"/>
        </w:rPr>
      </w:pPr>
      <w:r>
        <w:rPr>
          <w:b/>
          <w:bCs/>
          <w:color w:val="000000"/>
          <w:lang w:val="kk-KZ"/>
        </w:rPr>
        <w:t xml:space="preserve">(Сәуле Досжанова. Т.74-63-01. </w:t>
      </w:r>
      <w:r>
        <w:rPr>
          <w:b/>
          <w:lang w:val="kk-KZ"/>
        </w:rPr>
        <w:t xml:space="preserve">Ақпаратты ҚР Парламенті Мәжілісі Аппаратының </w:t>
      </w:r>
      <w:r>
        <w:rPr>
          <w:b/>
          <w:bCs/>
          <w:color w:val="000000"/>
          <w:lang w:val="kk-KZ"/>
        </w:rPr>
        <w:t> Баспасөз қызметі таратты.)</w:t>
      </w:r>
    </w:p>
    <w:p w:rsidR="00BD3ACA" w:rsidRPr="00F334ED" w:rsidRDefault="00BD3ACA" w:rsidP="00BD3ACA">
      <w:pPr>
        <w:jc w:val="both"/>
        <w:rPr>
          <w:rStyle w:val="s1"/>
          <w:rFonts w:ascii="Arial" w:hAnsi="Arial" w:cs="Arial"/>
          <w:bCs/>
          <w:sz w:val="28"/>
          <w:szCs w:val="28"/>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713F8F" w:rsidRDefault="00713F8F" w:rsidP="00713F8F">
      <w:pPr>
        <w:pBdr>
          <w:bottom w:val="single" w:sz="4" w:space="31" w:color="FFFFFF"/>
        </w:pBdr>
        <w:tabs>
          <w:tab w:val="left" w:pos="0"/>
        </w:tabs>
        <w:spacing w:after="0"/>
        <w:contextualSpacing/>
        <w:jc w:val="both"/>
        <w:rPr>
          <w:rFonts w:ascii="Times New Roman" w:hAnsi="Times New Roman" w:cs="Times New Roman"/>
          <w:lang w:val="kk-KZ"/>
        </w:rPr>
      </w:pPr>
    </w:p>
    <w:p w:rsidR="00EC2D0C" w:rsidRPr="00BD3ACA" w:rsidRDefault="00EC2D0C">
      <w:pPr>
        <w:rPr>
          <w:lang w:val="kk-KZ"/>
        </w:rPr>
      </w:pPr>
    </w:p>
    <w:sectPr w:rsidR="00EC2D0C" w:rsidRPr="00BD3ACA" w:rsidSect="00BA3C28">
      <w:headerReference w:type="default" r:id="rId6"/>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6D2" w:rsidRDefault="007806D2">
      <w:pPr>
        <w:spacing w:after="0" w:line="240" w:lineRule="auto"/>
      </w:pPr>
      <w:r>
        <w:separator/>
      </w:r>
    </w:p>
  </w:endnote>
  <w:endnote w:type="continuationSeparator" w:id="0">
    <w:p w:rsidR="007806D2" w:rsidRDefault="00780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6D2" w:rsidRDefault="007806D2">
      <w:pPr>
        <w:spacing w:after="0" w:line="240" w:lineRule="auto"/>
      </w:pPr>
      <w:r>
        <w:separator/>
      </w:r>
    </w:p>
  </w:footnote>
  <w:footnote w:type="continuationSeparator" w:id="0">
    <w:p w:rsidR="007806D2" w:rsidRDefault="00780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164232"/>
      <w:docPartObj>
        <w:docPartGallery w:val="Page Numbers (Top of Page)"/>
        <w:docPartUnique/>
      </w:docPartObj>
    </w:sdtPr>
    <w:sdtEndPr/>
    <w:sdtContent>
      <w:p w:rsidR="00BA3C28" w:rsidRDefault="00713F8F">
        <w:pPr>
          <w:pStyle w:val="a4"/>
          <w:jc w:val="center"/>
        </w:pPr>
        <w:r>
          <w:fldChar w:fldCharType="begin"/>
        </w:r>
        <w:r>
          <w:instrText>PAGE   \* MERGEFORMAT</w:instrText>
        </w:r>
        <w:r>
          <w:fldChar w:fldCharType="separate"/>
        </w:r>
        <w:r w:rsidR="001C3E66">
          <w:rPr>
            <w:noProof/>
          </w:rPr>
          <w:t>2</w:t>
        </w:r>
        <w:r>
          <w:fldChar w:fldCharType="end"/>
        </w:r>
      </w:p>
    </w:sdtContent>
  </w:sdt>
  <w:p w:rsidR="00BA3C28" w:rsidRDefault="007806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8F"/>
    <w:rsid w:val="000941D9"/>
    <w:rsid w:val="001C3E66"/>
    <w:rsid w:val="00713F8F"/>
    <w:rsid w:val="007806D2"/>
    <w:rsid w:val="00BD3ACA"/>
    <w:rsid w:val="00E20FC0"/>
    <w:rsid w:val="00EC2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E461D-54CB-472A-8024-D9459958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3F8F"/>
    <w:pPr>
      <w:spacing w:after="200" w:line="276" w:lineRule="auto"/>
    </w:pPr>
  </w:style>
  <w:style w:type="paragraph" w:styleId="3">
    <w:name w:val="heading 3"/>
    <w:basedOn w:val="a"/>
    <w:link w:val="30"/>
    <w:uiPriority w:val="9"/>
    <w:semiHidden/>
    <w:unhideWhenUsed/>
    <w:qFormat/>
    <w:rsid w:val="00E20FC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3F8F"/>
    <w:rPr>
      <w:b/>
      <w:bCs/>
    </w:rPr>
  </w:style>
  <w:style w:type="paragraph" w:styleId="a4">
    <w:name w:val="header"/>
    <w:basedOn w:val="a"/>
    <w:link w:val="a5"/>
    <w:uiPriority w:val="99"/>
    <w:unhideWhenUsed/>
    <w:rsid w:val="00713F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3F8F"/>
  </w:style>
  <w:style w:type="character" w:customStyle="1" w:styleId="30">
    <w:name w:val="Заголовок 3 Знак"/>
    <w:basedOn w:val="a0"/>
    <w:link w:val="3"/>
    <w:uiPriority w:val="9"/>
    <w:semiHidden/>
    <w:rsid w:val="00E20FC0"/>
    <w:rPr>
      <w:rFonts w:ascii="Times New Roman" w:eastAsia="Times New Roman" w:hAnsi="Times New Roman" w:cs="Times New Roman"/>
      <w:b/>
      <w:bCs/>
      <w:sz w:val="27"/>
      <w:szCs w:val="27"/>
      <w:lang w:eastAsia="ru-RU"/>
    </w:rPr>
  </w:style>
  <w:style w:type="character" w:customStyle="1" w:styleId="s1">
    <w:name w:val="s1"/>
    <w:rsid w:val="00BD3ACA"/>
    <w:rPr>
      <w:rFonts w:ascii="Times New Roman" w:hAnsi="Times New Roman" w:cs="Times New Roman" w:hint="default"/>
      <w:b/>
      <w:bCs w:val="0"/>
      <w:strike w:val="0"/>
      <w:dstrike w:val="0"/>
      <w:color w:val="000000"/>
      <w:sz w:val="4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630</Words>
  <Characters>3596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2017-05-16T10:51:00Z</dcterms:created>
  <dcterms:modified xsi:type="dcterms:W3CDTF">2017-05-17T10:20:00Z</dcterms:modified>
</cp:coreProperties>
</file>