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FFFF"/>
          <w:sz w:val="24"/>
          <w:szCs w:val="24"/>
        </w:rPr>
      </w:pPr>
      <w:r w:rsidRPr="00B349CD">
        <w:rPr>
          <w:rFonts w:ascii="Times New Roman" w:hAnsi="Times New Roman" w:cs="Times New Roman"/>
          <w:b/>
          <w:bCs/>
          <w:color w:val="00FFFF"/>
          <w:sz w:val="24"/>
          <w:szCs w:val="24"/>
        </w:rPr>
        <w:t xml:space="preserve">СОДОКЛАД 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FFFF"/>
          <w:sz w:val="24"/>
          <w:szCs w:val="24"/>
        </w:rPr>
      </w:pPr>
      <w:r w:rsidRPr="00B349CD">
        <w:rPr>
          <w:rFonts w:ascii="Times New Roman" w:hAnsi="Times New Roman" w:cs="Times New Roman"/>
          <w:b/>
          <w:bCs/>
          <w:color w:val="00FFFF"/>
          <w:sz w:val="24"/>
          <w:szCs w:val="24"/>
        </w:rPr>
        <w:t>Председателя Комитета по экономической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FFFF"/>
          <w:sz w:val="24"/>
          <w:szCs w:val="24"/>
        </w:rPr>
      </w:pPr>
      <w:r w:rsidRPr="00B349CD">
        <w:rPr>
          <w:rFonts w:ascii="Times New Roman" w:hAnsi="Times New Roman" w:cs="Times New Roman"/>
          <w:b/>
          <w:bCs/>
          <w:color w:val="00FFFF"/>
          <w:sz w:val="24"/>
          <w:szCs w:val="24"/>
        </w:rPr>
        <w:t xml:space="preserve">реформе и региональному развитию 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FFFF"/>
          <w:sz w:val="24"/>
          <w:szCs w:val="24"/>
        </w:rPr>
      </w:pPr>
      <w:r w:rsidRPr="00B349CD">
        <w:rPr>
          <w:rFonts w:ascii="Times New Roman" w:hAnsi="Times New Roman" w:cs="Times New Roman"/>
          <w:b/>
          <w:bCs/>
          <w:color w:val="00FFFF"/>
          <w:sz w:val="24"/>
          <w:szCs w:val="24"/>
        </w:rPr>
        <w:t>САБИЛЬЯНОВА Н.С.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Уважаемый Владимир Карпович!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Уважаемые депутаты!</w:t>
      </w:r>
    </w:p>
    <w:p w:rsidR="00B349CD" w:rsidRPr="00B349CD" w:rsidRDefault="00B349CD" w:rsidP="00B349CD">
      <w:pPr>
        <w:keepNext/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CD" w:rsidRPr="00B349CD" w:rsidRDefault="00B349CD" w:rsidP="00B349CD">
      <w:pPr>
        <w:tabs>
          <w:tab w:val="left" w:pos="54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В своем Послании народу Казахстана «Казахстан в новой глобальной реальности: рост, реформы, развитие» Глава государства отметил, что «Сегодня важно максимально высвободить внутренние ресурсы для обеспечения стабильного экономического роста. Для этого мы должны использовать два эффективных инструмента – масштабную приватизацию и расширение конкуренции».</w:t>
      </w:r>
    </w:p>
    <w:p w:rsidR="00B349CD" w:rsidRPr="00B349CD" w:rsidRDefault="00B349CD" w:rsidP="00B349CD">
      <w:pPr>
        <w:tabs>
          <w:tab w:val="left" w:pos="54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реализацию данного поручения, Правительством принят новый Комплексный план приватизации на 2016-2020 годы, согласно которому 902 организации подлежат передаче в конкурентную среду.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Несмотря на положительные результаты исполнения Плана приватизации, имеются следующие вопросы, требующие решения.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Первое. По поводу ожидаемого возврата вложенных государственных финансовых средств в объекты приватизации.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 этом отношении, прежде всего, вызывает вопрос осуществления оценки объектов приватизации.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Так, объекты приватизации, имеющие высокую балансовую стоимость и большой уставный капитал, сформированный за счет государственных средств, оценивались намного ниже уставного капитала и балансовой стоимости. 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Как вы знаете, </w:t>
      </w:r>
      <w:r w:rsidRPr="00B349CD">
        <w:rPr>
          <w:rFonts w:ascii="Times New Roman" w:hAnsi="Times New Roman" w:cs="Times New Roman"/>
          <w:color w:val="000000"/>
          <w:sz w:val="24"/>
          <w:szCs w:val="24"/>
          <w:u w:val="thick" w:color="000000"/>
        </w:rPr>
        <w:t>Уставной капитал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 – это сумма первоначальных активов (денежных средств, имущества), номинальная стоимость компании на момент ее возникновения. В нашем случае это сумма, вложенная в предприятие государством.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u w:val="thick" w:color="000000"/>
        </w:rPr>
        <w:t>Балансовая стоимость активов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 – это обычно денежная и первоначальная стоимость активов за вычетом износа.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Поэтому чаще всего под оценочной стоимостью подразумевается рыночная стоимость, которая в условиях рыночных отношений не должна быть меньше размера уставного капитала или балансовой стоимости объекта продажи.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Вместе с тем, из 367 проданных объектов приватизации, оценочная стоимость сложилась меньше балансовой стоимости – у 75 (20,5%) объектов приватизации на 70 млрд. 646 млн.тенге, меньше уставного капитала – у 144 (39,3%) объектов на 172 млрд. 451 млн. тенге.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считаем необходимым пересмотреть нормы законодательных актов, позволяющие рыночной стоимости при оценке  объектов приватизации быть ниже балансовой стоимости.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Данная мера будет способствовать возврату бюджетных средств, вложенных в госпредприятия.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Второе. Ситуация с низкой оценочной стоимостью усугубляется продажей объектов не сразу с первых торгов, а со </w:t>
      </w:r>
      <w:r w:rsidRPr="00B349CD">
        <w:rPr>
          <w:rFonts w:ascii="Times New Roman" w:hAnsi="Times New Roman" w:cs="Times New Roman"/>
          <w:color w:val="000000"/>
          <w:spacing w:val="-5"/>
          <w:sz w:val="24"/>
          <w:szCs w:val="24"/>
        </w:rPr>
        <w:t>вторых или третьих торгов с понижением стартовой цены до 50 %.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данным уполномоченного органа, из проданных на торгах 269 объектов:</w:t>
      </w:r>
      <w:r w:rsidRPr="00B34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20 - проданы с первых торгов, 19 - со вторых, 61 - с третьих торгов.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это также обусловлено регистрацией на первых торгах только одного участника торгов, так как по Правилам продажи объектов приватизации торги признаются несостоявшимися при наличии менее 2-х зарегистрированных участников.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-1843"/>
          <w:tab w:val="left" w:pos="-15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было бы целесообразно дать возможность покупки объекта приватизации единственному участнику первых торгов по рыночной стоимости. Для этого требуется внесение соответствующих поправок в Закон Республики Казахстан «О государственном имуществе».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-1843"/>
          <w:tab w:val="left" w:pos="-15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Кроме того, в случаях наличия ликвидных активов на балансе предприятия, выставленного на торги, целесообразно пересмотреть понижение цены на последующих торгах не более 5 - 10 % от стартовой цены, а не на 50 %.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уполномоченного органа, по цене ниже оценочной стоимости продано 192 объекта ( 52,2%) с разницей 41 млрд. 766 млн.тенге.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АО «Алматыметрокурылыс» оценочная стоимость - 2,6 млрд. тенге, а продажная стоимость - 1,4 млрд. тенге, то есть ниже оценочной почти в 2 раза;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Дворец спорта города Шымкент, оценочная стоимость - 997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34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млн. тенге, а продан за 128 млн. тенге, т.е. ниже оценочной почти в 8 раз.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Таким образом, продажа объектов приватизации ниже их оценочной стоимости приводит к неэффективности реализации Комплексного плана приватизации.  В связи с этим необходимо более ответственно подходить к оценке гособъектов, так как от этого зависит их успешная продажа.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Третье. Особого внимания требует продажа объектов долгосрочного инвестирования.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Например, в АО «НК «Қазақстан ғарыш сапары» за последние годы государство инвестировало около 137 млрд.тенге. Указанные бюджетные средства были направлены на реализацию 4 крупных проектов, из которых 2 еще не завершены, остальные 2 – введены лишь в 2014-2015 годах. Согласно финансово-экономическому обоснованию средняя окупаемость данных проектов составляет 10 лет, а значит отдача от госинвестиций предстоит в отдаленном будущем.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Для обеспечения долгосрочного эффекта на экономику государства от приватизации предлагаем государственным органам осуществлять оценку правовых, экономических и социальных последствий приватизации объектов.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Четвертое. Действующая программа приватизации должна учитывать социальную направленность некоторых объектов приватизации.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Это продиктовано опытом приватизации в 90-х годах, когда такие социальные объекты, как здания детских садов, домов культуры продавались по низкой цене, а государство позже выкупало их обратно на бюджетные средства по высокой цене.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Поэтому, к приватизации объектов социальной сферы и жизнеобеспечения следует подходить крайне взвешенно и продуманно, поскольку впоследствии есть вероятность удорожания тарифов, цен на некоторые услуги, которые могут стать неподъемными для населения.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допустить этого, государственным органам необходимо определить условия продажи, учитывающие социальную направленность объектов, и усилить 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постприватизационный контроль путем разработки детальных планов по исполнению обязательств в части сохранения социального профиля деятельности.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-1560"/>
          <w:tab w:val="left" w:pos="-1276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В этом отношении возможно следует приостановить продажу районных коммунальных предприятий по водоснабжению и водоотведению, которым отведена важная роль в выполнении приоритетной государственной задачи по обеспечению доступа к центральному водоснабжению в сельских населенных пунктах. Будучи частными, такие предприятия в случае недостаточности собственных ресурсов уже не могут гарантировать качества и полного объема предоставления услуг. Учитывая социальное значение питьевого водоснабжения, это может негативно отразиться на благополучии граждан.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-1560"/>
          <w:tab w:val="left" w:pos="-1276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Такая же неоднозначная ситуация с приватизацией некоторых учреждений здравоохранения, в частности государственных поликлиник, которые предоставляют гарантированный объем бесплатной медицинской помощи. Возникает вопрос: насколько беспрепятственно в поликлиниках, как объектах частной собственности, будет проводиться проверка целевого использования бюджетных средств? Не обернется ли это потребностью в строительстве новых государственных объектов здравоохранения?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В таком случае снова возникает вопрос эффективности использования бюджетных средств, направленных на финансирование госпредприятий и учреждений.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в числе проданных объектов приватизации, 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68 получили в 2017 году из бюджета 20 млрд. 839 млн. тенге.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Из них 62 объекта коммунальной собственности получили бюджетные средства на 19 млрд. 970 млн.тенге, а проданы были за 22 млрд. 923 млн.тенге. Среди них 18 организаций здравоохранения, 15 коммунальных предприятий в регионах, 13 спортивных клубов и организаций.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>Пятое. Это вопрос низкого темпа реализации крупных объектов приватизации, входящих в Комплексный план приватизации.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из 65 организаций в перечне ТОП-65, продано всего лишь 14. До конца 2020 года планируется вывод на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IPO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SPO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 7-ми крупных компаний Фонда «Самрук-Қазына», к продаже которых следует подходить с тщательной предпродажной подготовкой.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Поэтому Министерству финансов совместно с холдингами «Самрук-Қазына» и «Байтерек» необходимо еще раз тщательно проработать этот вопрос, уделив особое внимание продаже 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АО Жилстройсбербанк и АО «КазАгроФинанс».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Учитывая, что в Жилстройсбербанке более одного миллиона вкладчиков с депозитной базой порядка 520 млрд. тенге, возникают вопросы: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- сохранит ли Жилстройсбербанк свое участие в государственных жилищных программах;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- не изменятся ли условия кредитования;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- что будет с выплатой государственной премии для вкладчиков банка.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Аналогичные вопросы по АО «КазАгроФинанс». Ссудный портфель АО «КазАгроФинанс» по состоянию на 1 января 2018 года составил 237,4 млрд. тенге, из них 72,5 млрд. тенге – инвестиционные проекты, профинансированные из средств Национального фонда РК.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В связи  с этим необходимо уточнить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что будет с этими деньгами, будут ли они возвращены?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что будет с действующими заемщиками АО «КазАгроФинанс», которых сейчас порядка 6,5 тысяч, не ухудшит ли продажа АО «КазАгроФинанс» доступность сельхозтехники для фермеров? 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Государственным органам совместно с национальными управляющими холдингами необходимо принять меры по защите интересов вкладчиков банка и сельхозпроизводителей.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Шестое. Относительно ликвидированных, реорганизован-ных, находящихся на стадии ликвидации или реорганизации объектов приватизации.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Так, согласно Закону Республики Казахстан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«О государственном имуществе» и Правилам продажи объектов приватизации, объекты не проданные по результатам всех трех торгов подлежат ликвидации.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По состоянию на 01.01.2018 г. ликвидировано, реорганизовано и находятся на стадии ликвидации, реорганизации – 237 объектов приватизации (55 - ликвидировано, 134 – на стадии ликвидации, 24 – реорганизовано, 24 – на стадии реорганизации. Уставный капитал объектов приватизации, находящихся в республиканской и коммунальной собственности составил  - 87 742,5 млн. тенге,  СПК – 6 998,6. Балансовая стоимость объектов приватизации, находящихся в республиканской и коммунальной собственности составила – 69 044,0 млн. тенге,  СПК – 6 545,1).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 них 94 (39,6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%) - это предприятия АО «ФНБ «Самрук-Қазына» и Социально-предпринимательских корпораций. Неясно по каким причинам предприятия, созданные государством с целью получения прибыли, стали неликвидными и непривлекательными для бизнес-структур. В связи с этим необходимо провести анализ.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в соответствии с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Законом РК «О государственном имуществе» имущество ликвидированного государственного юридического лица перераспределяется уполномоченным органом по государственному имуществу или местным исполнительным органом, либо по согласованию с акимом района (города областного значения) и собранием местного сообщества.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АО «ФНБ «Самрук-Қазына» распределяет имущество ликвидированного предприятия по подведомственным (дочерним) организациям, то есть усиливает (увеличивает) их активы.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Такие меры не соответствуют цели приватизации по повышению эффективности экономики за счет вывода государственных активов в частную среду.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Однозначно, что данному вопросу необходимо уделить особое внимание и пересмотреть Постановление Правительства 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№ 1141.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Седьмое. На сегодняшний день одновременно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с сокращением государственных предприятий путем их приватизации появляются новые предприятия в государственной собственности. Так, за 2016-2017 годы уже появились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 xml:space="preserve"> 64 гос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предприяти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Так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подход</w:t>
      </w:r>
      <w:r w:rsidRPr="00B349C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государственных органов и субъектов квазигосударственного сектора препятствуют своевременному и качественному исполнению поручения Главы государства по завершению приватизации до конца текущего года.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72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Этот вопрос Правительству Республики Казахстан следует взять на особый контроль.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заключение я хотел бы еще раз подчеркнуть, что для успешной реализации программы приватизации, позволяющей направить высвободившиеся государственные ресурсы на развитие производственной и социальной инфраструктуры, реализацию социальных </w:t>
      </w:r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программ, должны быть использованы наиболее эффективные условия и методы передачи объектов приватизации в частный сектор.   </w:t>
      </w:r>
    </w:p>
    <w:p w:rsidR="00B349CD" w:rsidRPr="00B349CD" w:rsidRDefault="00B349CD" w:rsidP="00B349CD">
      <w:pPr>
        <w:pBdr>
          <w:bottom w:val="single" w:sz="4" w:space="31" w:color="FFFFFF"/>
        </w:pBdr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211F" w:rsidRDefault="00B349CD" w:rsidP="00B349CD">
      <w:r w:rsidRPr="00B349CD">
        <w:rPr>
          <w:rFonts w:ascii="Times New Roman" w:hAnsi="Times New Roman" w:cs="Times New Roman"/>
          <w:color w:val="000000"/>
          <w:sz w:val="24"/>
          <w:szCs w:val="24"/>
          <w:lang w:val="en-US"/>
        </w:rPr>
        <w:t>Благодарю за внимание!</w:t>
      </w:r>
      <w:bookmarkStart w:id="0" w:name="_GoBack"/>
      <w:bookmarkEnd w:id="0"/>
    </w:p>
    <w:sectPr w:rsidR="0012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D"/>
    <w:rsid w:val="0012211F"/>
    <w:rsid w:val="00B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2C61-04C6-4707-910D-D746225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349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-p">
    <w:name w:val="normal-p"/>
    <w:basedOn w:val="a"/>
    <w:uiPriority w:val="99"/>
    <w:rsid w:val="00B349C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Heading1,Colorful List - Accent 11,маркированный,Маркировка,Абзац,Bullets,List Paragraph (numbered (a)),NUMBERED PARAGRAPH,List Paragraph 1,List_Paragraph,Multilevel para_II,Akapit z listą BS,IBL List Paragraph,List Paragraph nowy,Bullet1"/>
    <w:basedOn w:val="a"/>
    <w:uiPriority w:val="99"/>
    <w:qFormat/>
    <w:rsid w:val="00B349C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0"/>
      <w:szCs w:val="20"/>
      <w:lang w:val="en-US"/>
    </w:rPr>
  </w:style>
  <w:style w:type="character" w:styleId="a5">
    <w:name w:val="Emphasis"/>
    <w:basedOn w:val="a0"/>
    <w:uiPriority w:val="99"/>
    <w:qFormat/>
    <w:rsid w:val="00B349CD"/>
    <w:rPr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Ашимова Роза</dc:creator>
  <cp:keywords/>
  <dc:description/>
  <cp:lastModifiedBy>Ашимова Роза</cp:lastModifiedBy>
  <cp:revision>1</cp:revision>
  <dcterms:created xsi:type="dcterms:W3CDTF">2018-04-26T11:04:00Z</dcterms:created>
  <dcterms:modified xsi:type="dcterms:W3CDTF">2018-04-26T11:05:00Z</dcterms:modified>
</cp:coreProperties>
</file>