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7"/>
      </w:tblGrid>
      <w:tr w:rsidR="00D93BF0" w:rsidTr="00D93BF0">
        <w:tblPrEx>
          <w:tblCellMar>
            <w:top w:w="0" w:type="dxa"/>
            <w:bottom w:w="0" w:type="dxa"/>
          </w:tblCellMar>
        </w:tblPrEx>
        <w:tc>
          <w:tcPr>
            <w:tcW w:w="9637" w:type="dxa"/>
            <w:shd w:val="clear" w:color="auto" w:fill="auto"/>
          </w:tcPr>
          <w:p w:rsidR="00D93BF0" w:rsidRDefault="00D93BF0" w:rsidP="00D8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pacing w:val="2"/>
                <w:sz w:val="24"/>
                <w:szCs w:val="28"/>
                <w:shd w:val="clear" w:color="FFFFFF" w:fill="FFFFFF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pacing w:val="2"/>
                <w:sz w:val="24"/>
                <w:szCs w:val="28"/>
                <w:shd w:val="clear" w:color="FFFFFF" w:fill="FFFFFF"/>
                <w:lang w:val="kk-KZ"/>
              </w:rPr>
              <w:t>19.04.2024-ғы № 16-01/1420 дз шығыс хаты</w:t>
            </w:r>
          </w:p>
          <w:p w:rsidR="00D93BF0" w:rsidRPr="00D93BF0" w:rsidRDefault="00D93BF0" w:rsidP="00D8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pacing w:val="2"/>
                <w:sz w:val="24"/>
                <w:szCs w:val="28"/>
                <w:shd w:val="clear" w:color="FFFFFF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pacing w:val="2"/>
                <w:sz w:val="24"/>
                <w:szCs w:val="28"/>
                <w:shd w:val="clear" w:color="FFFFFF" w:fill="FFFFFF"/>
                <w:lang w:val="kk-KZ"/>
              </w:rPr>
              <w:t>22.04.2024-ғы № 2102//16-01/1420дз/ДС-127 кіріс хаты</w:t>
            </w:r>
          </w:p>
        </w:tc>
      </w:tr>
    </w:tbl>
    <w:p w:rsidR="00D8254E" w:rsidRDefault="00D8254E" w:rsidP="00D8254E">
      <w:pPr>
        <w:spacing w:after="0" w:line="240" w:lineRule="auto"/>
        <w:ind w:hanging="5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FFFFFF" w:fill="FFFFFF"/>
          <w:lang w:val="kk-KZ"/>
        </w:rPr>
      </w:pPr>
      <w:r>
        <w:rPr>
          <w:noProof/>
          <w:lang w:eastAsia="ru-RU"/>
        </w:rPr>
        <w:drawing>
          <wp:inline distT="0" distB="0" distL="0" distR="0" wp14:anchorId="274AD29E" wp14:editId="7C7EBFB3">
            <wp:extent cx="6119495" cy="1790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54E" w:rsidRDefault="00D8254E" w:rsidP="00D8254E">
      <w:pPr>
        <w:spacing w:after="0" w:line="240" w:lineRule="auto"/>
        <w:ind w:left="5670" w:hanging="5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FFFFFF" w:fill="FFFFFF"/>
          <w:lang w:val="kk-KZ"/>
        </w:rPr>
      </w:pPr>
    </w:p>
    <w:p w:rsidR="00D8254E" w:rsidRPr="00A524EF" w:rsidRDefault="00D8254E" w:rsidP="00D8254E">
      <w:pPr>
        <w:spacing w:after="0" w:line="240" w:lineRule="auto"/>
        <w:ind w:left="5670" w:hanging="5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FFFFFF" w:fill="FFFFFF"/>
          <w:lang w:val="kk-KZ"/>
        </w:rPr>
      </w:pPr>
      <w:r w:rsidRPr="00A524EF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FFFFFF" w:fill="FFFFFF"/>
          <w:lang w:val="kk-KZ"/>
        </w:rPr>
        <w:t>Қазақстан Республикасы Парламенті Мәжілісінің</w:t>
      </w:r>
    </w:p>
    <w:p w:rsidR="00D8254E" w:rsidRPr="00A524EF" w:rsidRDefault="00D8254E" w:rsidP="00D8254E">
      <w:pPr>
        <w:spacing w:after="0" w:line="240" w:lineRule="auto"/>
        <w:ind w:left="4956" w:firstLine="709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FFFFFF" w:fill="FFFFFF"/>
          <w:lang w:val="kk-KZ"/>
        </w:rPr>
      </w:pPr>
      <w:r w:rsidRPr="00A524EF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FFFFFF" w:fill="FFFFFF"/>
          <w:lang w:val="kk-KZ"/>
        </w:rPr>
        <w:t>депутаттарына</w:t>
      </w:r>
    </w:p>
    <w:p w:rsidR="00D8254E" w:rsidRPr="00A524EF" w:rsidRDefault="00D8254E" w:rsidP="00D8254E">
      <w:pPr>
        <w:spacing w:after="0" w:line="240" w:lineRule="auto"/>
        <w:ind w:left="4956" w:firstLine="709"/>
        <w:jc w:val="center"/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FFFFFF" w:fill="FFFFFF"/>
          <w:lang w:val="kk-KZ"/>
        </w:rPr>
      </w:pPr>
      <w:r w:rsidRPr="00A524EF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FFFFFF" w:fill="FFFFFF"/>
          <w:lang w:val="kk-KZ"/>
        </w:rPr>
        <w:t>(тізім бойынша)</w:t>
      </w:r>
    </w:p>
    <w:p w:rsidR="00D8254E" w:rsidRPr="00A524EF" w:rsidRDefault="00D8254E" w:rsidP="00D8254E">
      <w:pPr>
        <w:spacing w:after="0" w:line="240" w:lineRule="auto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D8254E" w:rsidRPr="00A524EF" w:rsidRDefault="00D8254E" w:rsidP="00D8254E">
      <w:pPr>
        <w:spacing w:after="0" w:line="240" w:lineRule="auto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A524EF">
        <w:rPr>
          <w:rFonts w:ascii="Times New Roman" w:hAnsi="Times New Roman" w:cs="Times New Roman"/>
          <w:i/>
          <w:sz w:val="24"/>
          <w:szCs w:val="28"/>
          <w:lang w:val="kk-KZ"/>
        </w:rPr>
        <w:t>2024 жылғы 20 наурыздағы №</w:t>
      </w:r>
      <w:r w:rsidR="000418D8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 w:rsidRPr="00A524EF">
        <w:rPr>
          <w:rFonts w:ascii="Times New Roman" w:hAnsi="Times New Roman" w:cs="Times New Roman"/>
          <w:i/>
          <w:sz w:val="24"/>
          <w:szCs w:val="28"/>
          <w:lang w:val="kk-KZ"/>
        </w:rPr>
        <w:t>ДС-127</w:t>
      </w:r>
    </w:p>
    <w:p w:rsidR="00D8254E" w:rsidRPr="00A524EF" w:rsidRDefault="00D8254E" w:rsidP="00D8254E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FFFFFF" w:fill="FFFFFF"/>
          <w:lang w:val="kk-KZ"/>
        </w:rPr>
      </w:pPr>
    </w:p>
    <w:p w:rsidR="00D8254E" w:rsidRPr="00A524EF" w:rsidRDefault="00D8254E" w:rsidP="00D8254E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FFFFFF" w:fill="FFFFFF"/>
          <w:lang w:val="kk-KZ"/>
        </w:rPr>
      </w:pPr>
    </w:p>
    <w:p w:rsidR="00D8254E" w:rsidRPr="00A524EF" w:rsidRDefault="00D8254E" w:rsidP="00D825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FFFFFF" w:fill="FFFFFF"/>
          <w:lang w:val="kk-KZ"/>
        </w:rPr>
      </w:pPr>
      <w:r w:rsidRPr="00A524EF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FFFFFF" w:fill="FFFFFF"/>
          <w:lang w:val="kk-KZ"/>
        </w:rPr>
        <w:t>Құрметті депутаттар!</w:t>
      </w:r>
    </w:p>
    <w:p w:rsidR="00D8254E" w:rsidRPr="00A524EF" w:rsidRDefault="00D8254E" w:rsidP="00D825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FFFFFF" w:fill="FFFFFF"/>
          <w:lang w:val="kk-KZ"/>
        </w:rPr>
      </w:pPr>
    </w:p>
    <w:p w:rsidR="00D8254E" w:rsidRPr="00A524EF" w:rsidRDefault="00BB317C" w:rsidP="00D825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Ғ</w:t>
      </w:r>
      <w:r w:rsidR="00D8254E" w:rsidRPr="00A524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ылымды қаржыландыруға өндіру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ге</w:t>
      </w:r>
      <w:r w:rsidR="00D8254E" w:rsidRPr="00A524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A45B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жұмсалған</w:t>
      </w:r>
      <w:r w:rsidR="00A45BE8" w:rsidRPr="00A524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D8254E" w:rsidRPr="00A524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шығындар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</w:t>
      </w:r>
      <w:r w:rsidR="00D8254E" w:rsidRPr="00A524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ың 1%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-ы</w:t>
      </w:r>
      <w:r w:rsidR="00D8254E" w:rsidRPr="00A524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мөлшерінде қаражат аудару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бойынша ж</w:t>
      </w:r>
      <w:r w:rsidRPr="00A524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ер қойнауын пайдаланушылардың </w:t>
      </w:r>
      <w:r w:rsidR="00D8254E" w:rsidRPr="00A524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міндеттемелеріне қатысты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</w:t>
      </w:r>
      <w:r w:rsidR="00D8254E" w:rsidRPr="00A524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дер</w:t>
      </w:r>
      <w:r w:rsidR="00D8254E" w:rsidRPr="00A524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дің депутаттық </w:t>
      </w:r>
      <w:r w:rsidR="00D8254E" w:rsidRPr="00F00A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сауал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дар</w:t>
      </w:r>
      <w:r w:rsidR="00D8254E" w:rsidRPr="00F00A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ыңызға</w:t>
      </w:r>
      <w:r w:rsidR="00D8254E" w:rsidRPr="00A524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мынаны хабарлаймыз</w:t>
      </w:r>
      <w:r w:rsidR="00D82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. </w:t>
      </w:r>
    </w:p>
    <w:p w:rsidR="00D8254E" w:rsidRPr="00A524EF" w:rsidRDefault="00D8254E" w:rsidP="00D8254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24EF">
        <w:rPr>
          <w:rFonts w:ascii="Times New Roman" w:hAnsi="Times New Roman" w:cs="Times New Roman"/>
          <w:sz w:val="28"/>
          <w:szCs w:val="28"/>
          <w:lang w:val="kk-KZ"/>
        </w:rPr>
        <w:t xml:space="preserve">«Жер қойнауы және жер қойнауын пайдалану туралы» Кодекске (бұдан әрі – Кодекс) сәйкес салалық мемлекеттік органдар жер қойнауын пайдаланушылардың </w:t>
      </w:r>
      <w:r w:rsidRPr="00A524EF">
        <w:rPr>
          <w:rFonts w:ascii="Times New Roman" w:hAnsi="Times New Roman" w:cs="Times New Roman"/>
          <w:sz w:val="28"/>
          <w:szCs w:val="24"/>
          <w:lang w:val="kk-KZ"/>
        </w:rPr>
        <w:t>ғылыми-зерттеу және тәжірибелік-конструкторлық жұмыстарды (бұдан әрі – ҒЗТКЖ)</w:t>
      </w:r>
      <w:r w:rsidRPr="00A524EF">
        <w:rPr>
          <w:rFonts w:ascii="Times New Roman" w:hAnsi="Times New Roman" w:cs="Times New Roman"/>
          <w:sz w:val="28"/>
          <w:szCs w:val="28"/>
          <w:lang w:val="kk-KZ"/>
        </w:rPr>
        <w:t xml:space="preserve"> қаржыландыру жөніндегі келісімшарттық міндеттемелерінің орындалуын </w:t>
      </w:r>
      <w:r w:rsidR="00BB317C" w:rsidRPr="00A524EF">
        <w:rPr>
          <w:rFonts w:ascii="Times New Roman" w:hAnsi="Times New Roman" w:cs="Times New Roman"/>
          <w:sz w:val="28"/>
          <w:szCs w:val="28"/>
          <w:lang w:val="kk-KZ"/>
        </w:rPr>
        <w:t xml:space="preserve">жыл сайын </w:t>
      </w:r>
      <w:r w:rsidRPr="00A524EF">
        <w:rPr>
          <w:rFonts w:ascii="Times New Roman" w:hAnsi="Times New Roman" w:cs="Times New Roman"/>
          <w:sz w:val="28"/>
          <w:szCs w:val="28"/>
          <w:lang w:val="kk-KZ"/>
        </w:rPr>
        <w:t>мониторингт</w:t>
      </w:r>
      <w:r w:rsidR="00BB317C">
        <w:rPr>
          <w:rFonts w:ascii="Times New Roman" w:hAnsi="Times New Roman" w:cs="Times New Roman"/>
          <w:sz w:val="28"/>
          <w:szCs w:val="28"/>
          <w:lang w:val="kk-KZ"/>
        </w:rPr>
        <w:t>ейд</w:t>
      </w:r>
      <w:r w:rsidRPr="00A524EF">
        <w:rPr>
          <w:rFonts w:ascii="Times New Roman" w:hAnsi="Times New Roman" w:cs="Times New Roman"/>
          <w:sz w:val="28"/>
          <w:szCs w:val="28"/>
          <w:lang w:val="kk-KZ"/>
        </w:rPr>
        <w:t>і.</w:t>
      </w:r>
    </w:p>
    <w:p w:rsidR="00D8254E" w:rsidRDefault="00D8254E" w:rsidP="00D8254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24EF">
        <w:rPr>
          <w:rFonts w:ascii="Times New Roman" w:hAnsi="Times New Roman" w:cs="Times New Roman"/>
          <w:sz w:val="28"/>
          <w:szCs w:val="28"/>
          <w:lang w:val="kk-KZ"/>
        </w:rPr>
        <w:t>Салалық мемлекеттік органдардың ақпараты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бойынша</w:t>
      </w:r>
      <w:r w:rsidRPr="00A524EF">
        <w:rPr>
          <w:rFonts w:ascii="Times New Roman" w:hAnsi="Times New Roman" w:cs="Times New Roman"/>
          <w:sz w:val="28"/>
          <w:szCs w:val="28"/>
          <w:lang w:val="kk-KZ"/>
        </w:rPr>
        <w:t xml:space="preserve"> жер қойнауын пайдаланушылардың қаражаты есебінен ҒЗТКЖ</w:t>
      </w:r>
      <w:r>
        <w:rPr>
          <w:rFonts w:ascii="Times New Roman" w:hAnsi="Times New Roman" w:cs="Times New Roman"/>
          <w:sz w:val="28"/>
          <w:szCs w:val="28"/>
          <w:lang w:val="kk-KZ"/>
        </w:rPr>
        <w:t>-ны</w:t>
      </w:r>
      <w:r w:rsidRPr="00A524EF">
        <w:rPr>
          <w:rFonts w:ascii="Times New Roman" w:hAnsi="Times New Roman" w:cs="Times New Roman"/>
          <w:sz w:val="28"/>
          <w:szCs w:val="28"/>
          <w:lang w:val="kk-KZ"/>
        </w:rPr>
        <w:t xml:space="preserve"> қаржыландыруға келісімшарттық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міндеттемелер шеңберінде 2018-</w:t>
      </w:r>
      <w:r w:rsidRPr="00A524EF">
        <w:rPr>
          <w:rFonts w:ascii="Times New Roman" w:hAnsi="Times New Roman" w:cs="Times New Roman"/>
          <w:sz w:val="28"/>
          <w:szCs w:val="28"/>
          <w:lang w:val="kk-KZ"/>
        </w:rPr>
        <w:t>2022 жыл</w:t>
      </w:r>
      <w:r>
        <w:rPr>
          <w:rFonts w:ascii="Times New Roman" w:hAnsi="Times New Roman" w:cs="Times New Roman"/>
          <w:sz w:val="28"/>
          <w:szCs w:val="28"/>
          <w:lang w:val="kk-KZ"/>
        </w:rPr>
        <w:t>дар аралығында</w:t>
      </w:r>
      <w:r w:rsidRPr="00A524EF">
        <w:rPr>
          <w:rFonts w:ascii="Times New Roman" w:hAnsi="Times New Roman" w:cs="Times New Roman"/>
          <w:sz w:val="28"/>
          <w:szCs w:val="28"/>
          <w:lang w:val="kk-KZ"/>
        </w:rPr>
        <w:t xml:space="preserve"> ҒЗТКЖ жобаларын іске асыруға 2</w:t>
      </w:r>
      <w:r>
        <w:rPr>
          <w:rFonts w:ascii="Times New Roman" w:hAnsi="Times New Roman" w:cs="Times New Roman"/>
          <w:sz w:val="28"/>
          <w:szCs w:val="28"/>
          <w:lang w:val="kk-KZ"/>
        </w:rPr>
        <w:t>41 млрд теңге бөлінді. Бұл ретте келісімшарттар шеңберінде 2018-2022 жылдар қорытындысы бойынша берешек 5,6 млрд теңгені құрайды.</w:t>
      </w:r>
    </w:p>
    <w:p w:rsidR="00D8254E" w:rsidRPr="00A524EF" w:rsidRDefault="00D8254E" w:rsidP="00D8254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kk-KZ" w:eastAsia="ru-RU"/>
        </w:rPr>
      </w:pPr>
      <w:r w:rsidRPr="00A524E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kk-KZ" w:eastAsia="ru-RU"/>
        </w:rPr>
        <w:t>Анықтама:</w:t>
      </w:r>
      <w:r w:rsidRPr="00A524EF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 xml:space="preserve"> ЭМ деректері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не сәйкес</w:t>
      </w:r>
      <w:r w:rsidRPr="00A524EF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 xml:space="preserve"> ҒЗТКЖ жобалары бойынша көмірсутектер мен уран өндіру саласында ҒЗТКЖ-ға 82,36 млрд теңге бөлінді.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ӨҚМ ақпараты бойынша қ</w:t>
      </w:r>
      <w:r w:rsidRPr="00A524EF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 xml:space="preserve">атты пайдалы қазбаларды өндіру саласындағы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ҒЗТКЖ-ға аударымдар 158,8</w:t>
      </w:r>
      <w:r w:rsidRPr="00A524EF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 xml:space="preserve"> млрд теңгені құрады.</w:t>
      </w:r>
    </w:p>
    <w:p w:rsidR="00D8254E" w:rsidRPr="006819A6" w:rsidRDefault="00D8254E" w:rsidP="00D8254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Мониторингтің нәтижесі бойынша</w:t>
      </w:r>
      <w:r w:rsidRPr="00681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6819A6">
        <w:rPr>
          <w:rFonts w:ascii="Times New Roman" w:hAnsi="Times New Roman" w:cs="Times New Roman"/>
          <w:sz w:val="28"/>
          <w:szCs w:val="28"/>
          <w:lang w:val="kk-KZ"/>
        </w:rPr>
        <w:t>ер қойнауын пайдаланушы</w:t>
      </w:r>
      <w:r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Pr="006819A6">
        <w:rPr>
          <w:rFonts w:ascii="Times New Roman" w:hAnsi="Times New Roman" w:cs="Times New Roman"/>
          <w:sz w:val="28"/>
          <w:szCs w:val="28"/>
          <w:lang w:val="kk-KZ"/>
        </w:rPr>
        <w:t xml:space="preserve"> жер қойнауын пай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далануға арналған келісімшарттағы </w:t>
      </w:r>
      <w:r w:rsidRPr="006819A6">
        <w:rPr>
          <w:rFonts w:ascii="Times New Roman" w:hAnsi="Times New Roman" w:cs="Times New Roman"/>
          <w:sz w:val="28"/>
          <w:szCs w:val="28"/>
          <w:lang w:val="kk-KZ"/>
        </w:rPr>
        <w:t>міндеттемелерді бұз</w:t>
      </w:r>
      <w:r>
        <w:rPr>
          <w:rFonts w:ascii="Times New Roman" w:hAnsi="Times New Roman" w:cs="Times New Roman"/>
          <w:sz w:val="28"/>
          <w:szCs w:val="28"/>
          <w:lang w:val="kk-KZ"/>
        </w:rPr>
        <w:t>ған жағдайда</w:t>
      </w:r>
      <w:r w:rsidRPr="00681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құзыретті орган</w:t>
      </w:r>
      <w:r w:rsidRPr="006819A6">
        <w:rPr>
          <w:rFonts w:ascii="Times New Roman" w:hAnsi="Times New Roman" w:cs="Times New Roman"/>
          <w:sz w:val="28"/>
          <w:szCs w:val="28"/>
          <w:lang w:val="kk-KZ"/>
        </w:rPr>
        <w:t xml:space="preserve"> жер қойнауын пайдала</w:t>
      </w:r>
      <w:r>
        <w:rPr>
          <w:rFonts w:ascii="Times New Roman" w:hAnsi="Times New Roman" w:cs="Times New Roman"/>
          <w:sz w:val="28"/>
          <w:szCs w:val="28"/>
          <w:lang w:val="kk-KZ"/>
        </w:rPr>
        <w:t>нушыларға хабарламалар жібереді</w:t>
      </w:r>
      <w:r w:rsidRPr="006819A6">
        <w:rPr>
          <w:rFonts w:ascii="Times New Roman" w:hAnsi="Times New Roman" w:cs="Times New Roman"/>
          <w:sz w:val="28"/>
          <w:szCs w:val="28"/>
          <w:lang w:val="kk-KZ"/>
        </w:rPr>
        <w:t xml:space="preserve">. Бұрын жіберілген хабарлама орындалмаған жағдайда келісімшарттық міндеттемелер бойынша берешек сот тәртібімен өндіріп алынады. Сондай-ақ белгіленген мерзімде жер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қойнауын пайдаланушылар </w:t>
      </w:r>
      <w:r w:rsidR="00BB317C" w:rsidRPr="006819A6">
        <w:rPr>
          <w:rFonts w:ascii="Times New Roman" w:hAnsi="Times New Roman" w:cs="Times New Roman"/>
          <w:sz w:val="28"/>
          <w:szCs w:val="28"/>
          <w:lang w:val="kk-KZ"/>
        </w:rPr>
        <w:t xml:space="preserve">жоймаған </w:t>
      </w:r>
      <w:r w:rsidRPr="006819A6">
        <w:rPr>
          <w:rFonts w:ascii="Times New Roman" w:hAnsi="Times New Roman" w:cs="Times New Roman"/>
          <w:sz w:val="28"/>
          <w:szCs w:val="28"/>
          <w:lang w:val="kk-KZ"/>
        </w:rPr>
        <w:t>бұзушылық</w:t>
      </w:r>
      <w:r w:rsidR="00BB31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317C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екеуден асып кеткен </w:t>
      </w:r>
      <w:r>
        <w:rPr>
          <w:rFonts w:ascii="Times New Roman" w:hAnsi="Times New Roman" w:cs="Times New Roman"/>
          <w:sz w:val="28"/>
          <w:szCs w:val="28"/>
          <w:lang w:val="kk-KZ"/>
        </w:rPr>
        <w:t>жағдайда</w:t>
      </w:r>
      <w:r w:rsidRPr="006819A6">
        <w:rPr>
          <w:rFonts w:ascii="Times New Roman" w:hAnsi="Times New Roman" w:cs="Times New Roman"/>
          <w:sz w:val="28"/>
          <w:szCs w:val="28"/>
          <w:lang w:val="kk-KZ"/>
        </w:rPr>
        <w:t xml:space="preserve"> құзыретті орган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819A6">
        <w:rPr>
          <w:rFonts w:ascii="Times New Roman" w:hAnsi="Times New Roman" w:cs="Times New Roman"/>
          <w:sz w:val="28"/>
          <w:szCs w:val="28"/>
          <w:lang w:val="kk-KZ"/>
        </w:rPr>
        <w:t>келісімшарттың қолданылуын біржақты тәртіппен мерзімінен бұрын тоқтатуға құқылы.</w:t>
      </w:r>
    </w:p>
    <w:p w:rsidR="00D8254E" w:rsidRPr="00A524EF" w:rsidRDefault="00D8254E" w:rsidP="00D8254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Жер қойнауын пайдаланушылармен </w:t>
      </w:r>
      <w:r w:rsidRPr="00A524EF">
        <w:rPr>
          <w:rFonts w:ascii="Times New Roman" w:hAnsi="Times New Roman" w:cs="Times New Roman"/>
          <w:sz w:val="28"/>
          <w:szCs w:val="24"/>
          <w:lang w:val="kk-KZ"/>
        </w:rPr>
        <w:t xml:space="preserve">ҒЗТКЖ </w:t>
      </w:r>
      <w:r>
        <w:rPr>
          <w:rFonts w:ascii="Times New Roman" w:hAnsi="Times New Roman" w:cs="Times New Roman"/>
          <w:sz w:val="28"/>
          <w:szCs w:val="24"/>
          <w:lang w:val="kk-KZ"/>
        </w:rPr>
        <w:t>қаржыландыру тетігін жетілдіру мақсатында</w:t>
      </w:r>
      <w:r w:rsidRPr="006819A6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A524EF">
        <w:rPr>
          <w:rFonts w:ascii="Times New Roman" w:hAnsi="Times New Roman" w:cs="Times New Roman"/>
          <w:sz w:val="28"/>
          <w:szCs w:val="24"/>
          <w:lang w:val="kk-KZ"/>
        </w:rPr>
        <w:t>Мемлекет басшысының тапсырмасы бойынша</w:t>
      </w:r>
      <w:r w:rsidRPr="006819A6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с</w:t>
      </w:r>
      <w:r w:rsidRPr="00A524EF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алалық мемлекеттік органдар жанынан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  <w:lang w:val="kk-KZ"/>
        </w:rPr>
        <w:t>(Энергетика, Ө</w:t>
      </w:r>
      <w:r w:rsidRPr="006819A6">
        <w:rPr>
          <w:rFonts w:ascii="Times New Roman" w:eastAsia="Arial" w:hAnsi="Times New Roman" w:cs="Times New Roman"/>
          <w:i/>
          <w:color w:val="000000"/>
          <w:sz w:val="24"/>
          <w:szCs w:val="24"/>
          <w:lang w:val="kk-KZ"/>
        </w:rPr>
        <w:t>неркәсіп және құрылыс министрліктерінде)</w:t>
      </w:r>
      <w:r w:rsidRPr="00A524EF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ғылыми-техникалық кеңестер</w:t>
      </w:r>
      <w:r>
        <w:rPr>
          <w:rStyle w:val="ab"/>
          <w:rFonts w:ascii="Times New Roman" w:eastAsia="Arial" w:hAnsi="Times New Roman" w:cs="Times New Roman"/>
          <w:color w:val="000000"/>
          <w:sz w:val="28"/>
          <w:szCs w:val="28"/>
          <w:lang w:val="kk-KZ"/>
        </w:rPr>
        <w:footnoteReference w:id="1"/>
      </w:r>
      <w:r w:rsidRPr="00A524EF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(бұдан әрі – ҒТК) құрылды.</w:t>
      </w:r>
    </w:p>
    <w:p w:rsidR="00D8254E" w:rsidRPr="00A524EF" w:rsidRDefault="00D8254E" w:rsidP="00D8254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524E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Көмірсутектер мен уран өндіру кезеңінде жер қой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науын пайдаланушылардың ҒЗТКЖ-</w:t>
      </w:r>
      <w:r w:rsidRPr="00A524E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ны қаржыландыру қағидаларына</w:t>
      </w:r>
      <w:r>
        <w:rPr>
          <w:rStyle w:val="ab"/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footnoteReference w:id="2"/>
      </w:r>
      <w:r w:rsidRPr="00A524E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(бұдан әрі</w:t>
      </w:r>
      <w:r w:rsidR="00164A0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– </w:t>
      </w:r>
      <w:r w:rsidRPr="00A524E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Қағида</w:t>
      </w:r>
      <w:r w:rsidR="00BB317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лар</w:t>
      </w:r>
      <w:r w:rsidRPr="00A524E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) </w:t>
      </w:r>
      <w:r w:rsidR="00BB317C" w:rsidRPr="00A524E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өзгерістер мен толықтырулар енгізіл</w:t>
      </w:r>
      <w:r w:rsidR="00BB317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іп,</w:t>
      </w:r>
      <w:r w:rsidR="00BB317C" w:rsidRPr="00A524E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524E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салалық ҒТК-мен ғылыми-зерттеу жобаларының техникалық тапсырмаларын келісу, жер қойнауын пайдаланушылар қаржыландыратын ҒЗТКЖ жобаларын мемлекеттік есепке қою және ғылыми-техникалық сараптамамен сүйемелдеу жөніндегі талаптар көзде</w:t>
      </w:r>
      <w:r w:rsidR="00BB317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лді</w:t>
      </w:r>
      <w:r w:rsidRPr="00A524E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D8254E" w:rsidRPr="00A524EF" w:rsidRDefault="00D8254E" w:rsidP="00D8254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</w:pPr>
      <w:r w:rsidRPr="00A524EF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ҒЗТКЖ жобаларын</w:t>
      </w:r>
      <w:r w:rsidR="00BB317C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сапалы ғылыми сараптауды</w:t>
      </w:r>
      <w:r w:rsidRPr="00A524EF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қамтамасыз ету үшін </w:t>
      </w:r>
      <w:r w:rsidRPr="008F7EE0">
        <w:rPr>
          <w:rFonts w:ascii="Times New Roman" w:eastAsia="Arial" w:hAnsi="Times New Roman" w:cs="Times New Roman"/>
          <w:i/>
          <w:color w:val="000000"/>
          <w:sz w:val="24"/>
          <w:szCs w:val="24"/>
          <w:lang w:val="kk-KZ"/>
        </w:rPr>
        <w:t>(жаңалықтың болуы, ғылыми жобаларға қойылатын талаптардың орындалуы)</w:t>
      </w:r>
      <w:r w:rsidRPr="00A524EF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салалық ҒТК бейіндік секцияларға бөлін</w:t>
      </w:r>
      <w:r w:rsidR="00222949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іп,</w:t>
      </w:r>
      <w:r w:rsidR="00164A00" w:rsidRPr="00164A00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</w:t>
      </w:r>
      <w:r w:rsidR="00164A00" w:rsidRPr="00A524EF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қазақстандық және шетелдік сарапшыларды тарт</w:t>
      </w:r>
      <w:r w:rsidR="00164A00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ылған</w:t>
      </w:r>
      <w:r w:rsidRPr="00A524EF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.</w:t>
      </w:r>
    </w:p>
    <w:p w:rsidR="00D8254E" w:rsidRPr="00A524EF" w:rsidRDefault="00D8254E" w:rsidP="00D8254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/>
          <w:i/>
          <w:color w:val="000000"/>
          <w:sz w:val="24"/>
          <w:szCs w:val="24"/>
          <w:u w:val="single"/>
          <w:lang w:val="kk-KZ"/>
        </w:rPr>
      </w:pPr>
      <w:r w:rsidRPr="00A524EF">
        <w:rPr>
          <w:rFonts w:ascii="Times New Roman" w:eastAsia="Arial" w:hAnsi="Times New Roman" w:cs="Times New Roman"/>
          <w:b/>
          <w:i/>
          <w:color w:val="000000"/>
          <w:sz w:val="24"/>
          <w:szCs w:val="24"/>
          <w:u w:val="single"/>
          <w:lang w:val="kk-KZ"/>
        </w:rPr>
        <w:t>Анықтама:</w:t>
      </w:r>
      <w:r w:rsidRPr="00A524EF">
        <w:rPr>
          <w:rFonts w:ascii="Times New Roman" w:eastAsia="Arial" w:hAnsi="Times New Roman" w:cs="Times New Roman"/>
          <w:i/>
          <w:color w:val="000000"/>
          <w:sz w:val="24"/>
          <w:szCs w:val="24"/>
          <w:lang w:val="kk-KZ"/>
        </w:rPr>
        <w:t xml:space="preserve"> ашықтық пен қолжетімділікті қамтамасыз ету мақсатында ҒТК құрамына жетекші ғалымдар, тәжірибелі мамандар, мемлекеттік органдардың,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  <w:lang w:val="kk-KZ"/>
        </w:rPr>
        <w:t>ҒЗИ мен ЖОО-ның</w:t>
      </w:r>
      <w:r w:rsidRPr="00A524EF">
        <w:rPr>
          <w:rFonts w:ascii="Times New Roman" w:eastAsia="Arial" w:hAnsi="Times New Roman" w:cs="Times New Roman"/>
          <w:i/>
          <w:color w:val="000000"/>
          <w:sz w:val="24"/>
          <w:szCs w:val="24"/>
          <w:lang w:val="kk-KZ"/>
        </w:rPr>
        <w:t>, жеке кәсіпкерлік субъектілерінің, көмірсутектер саласындағы ұлттық компаниялардың, салалық қауымдастықтар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  <w:lang w:val="kk-KZ"/>
        </w:rPr>
        <w:t>дың</w:t>
      </w:r>
      <w:r w:rsidRPr="00EE2345">
        <w:rPr>
          <w:rFonts w:ascii="Times New Roman" w:eastAsia="Arial" w:hAnsi="Times New Roman" w:cs="Times New Roman"/>
          <w:i/>
          <w:color w:val="000000"/>
          <w:sz w:val="24"/>
          <w:szCs w:val="24"/>
          <w:lang w:val="kk-KZ"/>
        </w:rPr>
        <w:t xml:space="preserve"> </w:t>
      </w:r>
      <w:r w:rsidRPr="00A524EF">
        <w:rPr>
          <w:rFonts w:ascii="Times New Roman" w:eastAsia="Arial" w:hAnsi="Times New Roman" w:cs="Times New Roman"/>
          <w:i/>
          <w:color w:val="000000"/>
          <w:sz w:val="24"/>
          <w:szCs w:val="24"/>
          <w:lang w:val="kk-KZ"/>
        </w:rPr>
        <w:t>өкілдері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  <w:lang w:val="kk-KZ"/>
        </w:rPr>
        <w:t xml:space="preserve">, қоғам белсенділері мен өкілдері енгізілді. </w:t>
      </w:r>
    </w:p>
    <w:p w:rsidR="00D8254E" w:rsidRDefault="00D8254E" w:rsidP="00D8254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</w:pPr>
      <w:r w:rsidRPr="00A524EF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Қабылданған Қағидаларға сәйкес жер қойнауын пайдаланушылар жыл сайын 25 қазаннан кешіктірмей ҒТҚ-да қарау және бекіту үшін техникалық міндеттері бар ҒЗТКЖ бағыттарының тізбесін ұсынады. Жыл басынан бері басым бағыттардың тізбесін бекіту үшін көмірсутектер мен уран өндіру саласында ҒТК екі отырысы өткізілді. </w:t>
      </w:r>
    </w:p>
    <w:p w:rsidR="00D8254E" w:rsidRPr="00A524EF" w:rsidRDefault="00D8254E" w:rsidP="00D8254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</w:pPr>
      <w:r w:rsidRPr="00A524EF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ҒЗТКЖ-ны қаржыландыру жер қойнауын пайдаланушылардың ғылыми зерттеулерінің жыл сайынғы бағдарламасының салалық ҒТК келісімін алғаннан кейін ғана жүзеге асырылады.</w:t>
      </w:r>
    </w:p>
    <w:p w:rsidR="00D8254E" w:rsidRPr="00A433F3" w:rsidRDefault="00D8254E" w:rsidP="00D8254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A433F3">
        <w:rPr>
          <w:rFonts w:ascii="Times New Roman" w:hAnsi="Times New Roman" w:cs="Times New Roman"/>
          <w:sz w:val="28"/>
          <w:szCs w:val="24"/>
          <w:lang w:val="kk-KZ"/>
        </w:rPr>
        <w:t xml:space="preserve">ҒТК бекіткен бағыттар шеңберінде жер қойнауын пайдаланушылар ҒЗТКЖ жобаларын қаржыландыруға </w:t>
      </w:r>
      <w:r>
        <w:rPr>
          <w:rFonts w:ascii="Times New Roman" w:hAnsi="Times New Roman" w:cs="Times New Roman"/>
          <w:sz w:val="28"/>
          <w:szCs w:val="24"/>
          <w:lang w:val="kk-KZ"/>
        </w:rPr>
        <w:t>ашық байқаулар</w:t>
      </w:r>
      <w:r w:rsidRPr="00A433F3">
        <w:rPr>
          <w:rFonts w:ascii="Times New Roman" w:hAnsi="Times New Roman" w:cs="Times New Roman"/>
          <w:sz w:val="28"/>
          <w:szCs w:val="24"/>
          <w:lang w:val="kk-KZ"/>
        </w:rPr>
        <w:t xml:space="preserve"> жариялайды. ҒЗТКЖ</w:t>
      </w:r>
      <w:r>
        <w:rPr>
          <w:rFonts w:ascii="Times New Roman" w:hAnsi="Times New Roman" w:cs="Times New Roman"/>
          <w:sz w:val="28"/>
          <w:szCs w:val="24"/>
          <w:lang w:val="kk-KZ"/>
        </w:rPr>
        <w:t>-ны</w:t>
      </w:r>
      <w:r w:rsidRPr="00A433F3">
        <w:rPr>
          <w:rFonts w:ascii="Times New Roman" w:hAnsi="Times New Roman" w:cs="Times New Roman"/>
          <w:sz w:val="28"/>
          <w:szCs w:val="24"/>
          <w:lang w:val="kk-KZ"/>
        </w:rPr>
        <w:t xml:space="preserve"> сатып алу ғылыми қызметтің аккредиттелген субъектілері қатарынан тек конкурстық рәсімдер негізінде</w:t>
      </w:r>
      <w:r>
        <w:rPr>
          <w:rFonts w:ascii="Times New Roman" w:hAnsi="Times New Roman" w:cs="Times New Roman"/>
          <w:i/>
          <w:sz w:val="28"/>
          <w:szCs w:val="24"/>
          <w:lang w:val="kk-KZ"/>
        </w:rPr>
        <w:t xml:space="preserve"> </w:t>
      </w:r>
      <w:r w:rsidRPr="00A433F3">
        <w:rPr>
          <w:rFonts w:ascii="Times New Roman" w:hAnsi="Times New Roman" w:cs="Times New Roman"/>
          <w:sz w:val="28"/>
          <w:szCs w:val="24"/>
          <w:lang w:val="kk-KZ"/>
        </w:rPr>
        <w:t>жүзеге асырылады</w:t>
      </w:r>
      <w:r>
        <w:rPr>
          <w:rFonts w:ascii="Times New Roman" w:hAnsi="Times New Roman" w:cs="Times New Roman"/>
          <w:sz w:val="28"/>
          <w:szCs w:val="24"/>
          <w:lang w:val="kk-KZ"/>
        </w:rPr>
        <w:t>,</w:t>
      </w:r>
      <w:r w:rsidRPr="00A433F3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kk-KZ"/>
        </w:rPr>
        <w:t>яғни</w:t>
      </w:r>
      <w:r w:rsidRPr="00A433F3">
        <w:rPr>
          <w:rFonts w:ascii="Times New Roman" w:hAnsi="Times New Roman" w:cs="Times New Roman"/>
          <w:sz w:val="28"/>
          <w:szCs w:val="24"/>
          <w:lang w:val="kk-KZ"/>
        </w:rPr>
        <w:t xml:space="preserve"> «бір көзден» тәсілмен сатып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алу мүмкіндігі алып тасталды</w:t>
      </w:r>
      <w:r w:rsidRPr="00A433F3">
        <w:rPr>
          <w:rFonts w:ascii="Times New Roman" w:hAnsi="Times New Roman" w:cs="Times New Roman"/>
          <w:sz w:val="28"/>
          <w:szCs w:val="24"/>
          <w:lang w:val="kk-KZ"/>
        </w:rPr>
        <w:t>.</w:t>
      </w:r>
    </w:p>
    <w:p w:rsidR="00D8254E" w:rsidRPr="002F15A1" w:rsidRDefault="00D8254E" w:rsidP="00D8254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2F15A1">
        <w:rPr>
          <w:rFonts w:ascii="Times New Roman" w:hAnsi="Times New Roman" w:cs="Times New Roman"/>
          <w:sz w:val="28"/>
          <w:szCs w:val="24"/>
          <w:lang w:val="kk-KZ"/>
        </w:rPr>
        <w:t>Бұдан басқа, жер қойнауын пайдаланушылардың ҒЗТКЖ-ны қаржыландыр</w:t>
      </w:r>
      <w:r w:rsidR="00222949">
        <w:rPr>
          <w:rFonts w:ascii="Times New Roman" w:hAnsi="Times New Roman" w:cs="Times New Roman"/>
          <w:sz w:val="28"/>
          <w:szCs w:val="24"/>
          <w:lang w:val="kk-KZ"/>
        </w:rPr>
        <w:t>уының</w:t>
      </w:r>
      <w:r w:rsidRPr="002F15A1">
        <w:rPr>
          <w:rFonts w:ascii="Times New Roman" w:hAnsi="Times New Roman" w:cs="Times New Roman"/>
          <w:sz w:val="28"/>
          <w:szCs w:val="24"/>
          <w:lang w:val="kk-KZ"/>
        </w:rPr>
        <w:t xml:space="preserve"> нәтижелілігіне талдау жүргізу мақсатында салалық ҒТК оларды іске асыру барысы туралы аралық және қорыт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ынды есептерді қарайтын болады. </w:t>
      </w:r>
      <w:r w:rsidRPr="002F15A1">
        <w:rPr>
          <w:rFonts w:ascii="Times New Roman" w:hAnsi="Times New Roman" w:cs="Times New Roman"/>
          <w:sz w:val="28"/>
          <w:szCs w:val="24"/>
          <w:lang w:val="kk-KZ"/>
        </w:rPr>
        <w:t xml:space="preserve">Қорытынды есептерді қарау нәтижелері бойынша ҒЗТКЖ жобалары </w:t>
      </w:r>
      <w:r w:rsidRPr="002F15A1">
        <w:rPr>
          <w:rFonts w:ascii="Times New Roman" w:hAnsi="Times New Roman" w:cs="Times New Roman"/>
          <w:sz w:val="28"/>
          <w:szCs w:val="24"/>
          <w:lang w:val="kk-KZ"/>
        </w:rPr>
        <w:lastRenderedPageBreak/>
        <w:t xml:space="preserve">ҒЗТКЖ жобаларының тізілімінде мемлекеттік есепке алу үшін </w:t>
      </w:r>
      <w:r>
        <w:rPr>
          <w:rFonts w:ascii="Times New Roman" w:hAnsi="Times New Roman" w:cs="Times New Roman"/>
          <w:sz w:val="28"/>
          <w:szCs w:val="24"/>
          <w:lang w:val="kk-KZ"/>
        </w:rPr>
        <w:t>«ҰМҒТСО»</w:t>
      </w:r>
      <w:r w:rsidRPr="002F15A1">
        <w:rPr>
          <w:rFonts w:ascii="Times New Roman" w:hAnsi="Times New Roman" w:cs="Times New Roman"/>
          <w:sz w:val="28"/>
          <w:szCs w:val="24"/>
          <w:lang w:val="kk-KZ"/>
        </w:rPr>
        <w:t xml:space="preserve"> АҚ-ға </w:t>
      </w:r>
      <w:r w:rsidR="00F90A75">
        <w:rPr>
          <w:rFonts w:ascii="Times New Roman" w:hAnsi="Times New Roman" w:cs="Times New Roman"/>
          <w:sz w:val="28"/>
          <w:szCs w:val="24"/>
          <w:lang w:val="kk-KZ"/>
        </w:rPr>
        <w:t>жолданады</w:t>
      </w:r>
      <w:r w:rsidRPr="002F15A1">
        <w:rPr>
          <w:rFonts w:ascii="Times New Roman" w:hAnsi="Times New Roman" w:cs="Times New Roman"/>
          <w:sz w:val="28"/>
          <w:szCs w:val="24"/>
          <w:lang w:val="kk-KZ"/>
        </w:rPr>
        <w:t>.</w:t>
      </w:r>
    </w:p>
    <w:p w:rsidR="00D8254E" w:rsidRDefault="00D8254E" w:rsidP="00D8254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2F15A1">
        <w:rPr>
          <w:rFonts w:ascii="Times New Roman" w:hAnsi="Times New Roman" w:cs="Times New Roman"/>
          <w:sz w:val="28"/>
          <w:szCs w:val="24"/>
          <w:lang w:val="kk-KZ"/>
        </w:rPr>
        <w:t>Жер қойнауын пайдаланушылар ғылымға жіберет</w:t>
      </w:r>
      <w:r w:rsidR="00222949">
        <w:rPr>
          <w:rFonts w:ascii="Times New Roman" w:hAnsi="Times New Roman" w:cs="Times New Roman"/>
          <w:sz w:val="28"/>
          <w:szCs w:val="24"/>
          <w:lang w:val="kk-KZ"/>
        </w:rPr>
        <w:t>ін қаражатты игермеген жағдайда</w:t>
      </w:r>
      <w:r w:rsidRPr="002F15A1">
        <w:rPr>
          <w:rFonts w:ascii="Times New Roman" w:hAnsi="Times New Roman" w:cs="Times New Roman"/>
          <w:sz w:val="28"/>
          <w:szCs w:val="24"/>
          <w:lang w:val="kk-KZ"/>
        </w:rPr>
        <w:t xml:space="preserve"> есепті кезеңнің қорытындылары бойынша берешек мемлекеттік бюджетке жіберіледі. Бұл қаражат ғылыми жобалар мен бағдарламаларды конкурстық негізде қаржыландыруға </w:t>
      </w:r>
      <w:r w:rsidR="00222949">
        <w:rPr>
          <w:rFonts w:ascii="Times New Roman" w:hAnsi="Times New Roman" w:cs="Times New Roman"/>
          <w:sz w:val="28"/>
          <w:szCs w:val="24"/>
          <w:lang w:val="kk-KZ"/>
        </w:rPr>
        <w:t>жіберіл</w:t>
      </w:r>
      <w:r w:rsidR="0001638B">
        <w:rPr>
          <w:rFonts w:ascii="Times New Roman" w:hAnsi="Times New Roman" w:cs="Times New Roman"/>
          <w:sz w:val="28"/>
          <w:szCs w:val="24"/>
          <w:lang w:val="kk-KZ"/>
        </w:rPr>
        <w:t>е</w:t>
      </w:r>
      <w:r w:rsidR="00222949">
        <w:rPr>
          <w:rFonts w:ascii="Times New Roman" w:hAnsi="Times New Roman" w:cs="Times New Roman"/>
          <w:sz w:val="28"/>
          <w:szCs w:val="24"/>
          <w:lang w:val="kk-KZ"/>
        </w:rPr>
        <w:t>тін</w:t>
      </w:r>
      <w:r w:rsidRPr="002F15A1">
        <w:rPr>
          <w:rFonts w:ascii="Times New Roman" w:hAnsi="Times New Roman" w:cs="Times New Roman"/>
          <w:sz w:val="28"/>
          <w:szCs w:val="24"/>
          <w:lang w:val="kk-KZ"/>
        </w:rPr>
        <w:t xml:space="preserve"> болады.</w:t>
      </w:r>
    </w:p>
    <w:p w:rsidR="00D8254E" w:rsidRPr="00A524EF" w:rsidRDefault="00D8254E" w:rsidP="00D8254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24EF">
        <w:rPr>
          <w:rFonts w:ascii="Times New Roman" w:hAnsi="Times New Roman" w:cs="Times New Roman"/>
          <w:sz w:val="28"/>
          <w:szCs w:val="28"/>
          <w:lang w:val="kk-KZ"/>
        </w:rPr>
        <w:t>Осылайша, ҒТК-да ҒЗТКЖ жобаларын қарау оларды қаржыландырудың орталықтандырылуы мен ашықтығын қамтамасыз етеді, олардың сапасын жақсартады, жер қойнауын пайдаланушылардың келісімшарттық міндеттемелерін орындаудың тиімділігін арттырады.</w:t>
      </w:r>
    </w:p>
    <w:p w:rsidR="00D8254E" w:rsidRPr="002F15A1" w:rsidRDefault="00D8254E" w:rsidP="00D8254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2F15A1">
        <w:rPr>
          <w:rFonts w:ascii="Times New Roman" w:hAnsi="Times New Roman" w:cs="Times New Roman"/>
          <w:sz w:val="28"/>
          <w:szCs w:val="24"/>
          <w:lang w:val="kk-KZ"/>
        </w:rPr>
        <w:t xml:space="preserve">ҒЗТКЖ қаржыландыру процесінің ашықтығын қамтамасыз ету және автоматтандыру мақсатында жер қойнауын пайдаланушылармен «Ұлттық инновациялық жүйенің бірыңғай терезесі» ақпараттық жүйесінің (бұдан әрі – «ҰИЖБТ» АЖ) пилоттық нұсқасы 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іске қосылды, онда </w:t>
      </w:r>
      <w:r w:rsidRPr="002F15A1">
        <w:rPr>
          <w:rFonts w:ascii="Times New Roman" w:hAnsi="Times New Roman" w:cs="Times New Roman"/>
          <w:sz w:val="28"/>
          <w:szCs w:val="24"/>
          <w:lang w:val="kk-KZ"/>
        </w:rPr>
        <w:t xml:space="preserve">2024 жылдың </w:t>
      </w:r>
      <w:r>
        <w:rPr>
          <w:rFonts w:ascii="Times New Roman" w:hAnsi="Times New Roman" w:cs="Times New Roman"/>
          <w:sz w:val="28"/>
          <w:szCs w:val="24"/>
          <w:lang w:val="kk-KZ"/>
        </w:rPr>
        <w:t>соңына дейін</w:t>
      </w:r>
      <w:r w:rsidRPr="002F15A1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kk-KZ"/>
        </w:rPr>
        <w:t>ж</w:t>
      </w:r>
      <w:r w:rsidRPr="002F15A1">
        <w:rPr>
          <w:rFonts w:ascii="Times New Roman" w:hAnsi="Times New Roman" w:cs="Times New Roman"/>
          <w:sz w:val="28"/>
          <w:szCs w:val="24"/>
          <w:lang w:val="kk-KZ"/>
        </w:rPr>
        <w:t>ер қойнауын пайдаланушылардың ҒЗТКЖ жоб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алары туралы ақпарат </w:t>
      </w:r>
      <w:r w:rsidRPr="002F15A1">
        <w:rPr>
          <w:rFonts w:ascii="Times New Roman" w:hAnsi="Times New Roman" w:cs="Times New Roman"/>
          <w:sz w:val="28"/>
          <w:szCs w:val="24"/>
          <w:lang w:val="kk-KZ"/>
        </w:rPr>
        <w:t>орналастыр</w:t>
      </w:r>
      <w:r>
        <w:rPr>
          <w:rFonts w:ascii="Times New Roman" w:hAnsi="Times New Roman" w:cs="Times New Roman"/>
          <w:sz w:val="28"/>
          <w:szCs w:val="24"/>
          <w:lang w:val="kk-KZ"/>
        </w:rPr>
        <w:t>ылатын болады</w:t>
      </w:r>
      <w:r w:rsidRPr="002F15A1">
        <w:rPr>
          <w:rFonts w:ascii="Times New Roman" w:hAnsi="Times New Roman" w:cs="Times New Roman"/>
          <w:sz w:val="28"/>
          <w:szCs w:val="24"/>
          <w:lang w:val="kk-KZ"/>
        </w:rPr>
        <w:t>.</w:t>
      </w:r>
    </w:p>
    <w:p w:rsidR="00D8254E" w:rsidRDefault="00D8254E" w:rsidP="00D8254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2F15A1">
        <w:rPr>
          <w:rFonts w:ascii="Times New Roman" w:hAnsi="Times New Roman" w:cs="Times New Roman"/>
          <w:sz w:val="28"/>
          <w:szCs w:val="24"/>
          <w:lang w:val="kk-KZ"/>
        </w:rPr>
        <w:t xml:space="preserve">Қазіргі уақытта «ҰИЖБТ» АЖ 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аккредиттелген ғылыми ұйымдар, ғалымдар, ғылыми жобалар бойынша мәліметтер жинақталған </w:t>
      </w:r>
      <w:r w:rsidRPr="002F15A1">
        <w:rPr>
          <w:rFonts w:ascii="Times New Roman" w:hAnsi="Times New Roman" w:cs="Times New Roman"/>
          <w:sz w:val="28"/>
          <w:szCs w:val="24"/>
          <w:lang w:val="kk-KZ"/>
        </w:rPr>
        <w:t>платформалармен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DD36B5">
        <w:rPr>
          <w:rFonts w:ascii="Times New Roman" w:hAnsi="Times New Roman" w:cs="Times New Roman"/>
          <w:i/>
          <w:sz w:val="24"/>
          <w:szCs w:val="24"/>
          <w:lang w:val="kk-KZ"/>
        </w:rPr>
        <w:t>(Энергетика министрлігінің, Қаржы министрлігінің Мемлекеттік кірістер комитетінің «ЖҚПББМЖ» ақпараттық жүйелерінің және «Ұлттық мемлекеттік ғылыми-техникалық сараптама орталығы» АҚ)</w:t>
      </w:r>
      <w:r w:rsidRPr="002F15A1">
        <w:rPr>
          <w:rFonts w:ascii="Times New Roman" w:hAnsi="Times New Roman" w:cs="Times New Roman"/>
          <w:sz w:val="28"/>
          <w:szCs w:val="24"/>
          <w:lang w:val="kk-KZ"/>
        </w:rPr>
        <w:t xml:space="preserve"> интеграциядан өтуде. </w:t>
      </w:r>
    </w:p>
    <w:p w:rsidR="00D8254E" w:rsidRPr="00A524EF" w:rsidRDefault="00D8254E" w:rsidP="00D8254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Сонымен қатар </w:t>
      </w:r>
      <w:r w:rsidRPr="00A524EF">
        <w:rPr>
          <w:rFonts w:ascii="Times New Roman" w:hAnsi="Times New Roman" w:cs="Times New Roman"/>
          <w:sz w:val="28"/>
          <w:szCs w:val="24"/>
          <w:lang w:val="kk-KZ"/>
        </w:rPr>
        <w:t>«Самұрық-Қазына» ҰӘҚ» АҚ жер қойнауын пайдаланушы портфельдік компаниялары</w:t>
      </w:r>
      <w:r>
        <w:rPr>
          <w:rFonts w:ascii="Times New Roman" w:hAnsi="Times New Roman" w:cs="Times New Roman"/>
          <w:sz w:val="28"/>
          <w:szCs w:val="24"/>
          <w:lang w:val="kk-KZ"/>
        </w:rPr>
        <w:t>мен</w:t>
      </w:r>
      <w:r w:rsidRPr="00A524EF">
        <w:rPr>
          <w:rFonts w:ascii="Times New Roman" w:hAnsi="Times New Roman" w:cs="Times New Roman"/>
          <w:sz w:val="28"/>
          <w:szCs w:val="24"/>
          <w:lang w:val="kk-KZ"/>
        </w:rPr>
        <w:t xml:space="preserve"> ҒЗТКЖ-ға </w:t>
      </w:r>
      <w:r w:rsidR="0001638B">
        <w:rPr>
          <w:rFonts w:ascii="Times New Roman" w:hAnsi="Times New Roman" w:cs="Times New Roman"/>
          <w:sz w:val="28"/>
          <w:szCs w:val="24"/>
          <w:lang w:val="kk-KZ"/>
        </w:rPr>
        <w:t>жіберілетін</w:t>
      </w:r>
      <w:r w:rsidRPr="00A524EF">
        <w:rPr>
          <w:rFonts w:ascii="Times New Roman" w:hAnsi="Times New Roman" w:cs="Times New Roman"/>
          <w:sz w:val="28"/>
          <w:szCs w:val="24"/>
          <w:lang w:val="kk-KZ"/>
        </w:rPr>
        <w:t xml:space="preserve"> қаражатт</w:t>
      </w:r>
      <w:r>
        <w:rPr>
          <w:rFonts w:ascii="Times New Roman" w:hAnsi="Times New Roman" w:cs="Times New Roman"/>
          <w:sz w:val="28"/>
          <w:szCs w:val="24"/>
          <w:lang w:val="kk-KZ"/>
        </w:rPr>
        <w:t>ы</w:t>
      </w:r>
      <w:r w:rsidRPr="00A524EF">
        <w:rPr>
          <w:rFonts w:ascii="Times New Roman" w:hAnsi="Times New Roman" w:cs="Times New Roman"/>
          <w:sz w:val="28"/>
          <w:szCs w:val="24"/>
          <w:lang w:val="kk-KZ"/>
        </w:rPr>
        <w:t xml:space="preserve"> орталықтандыру үшін Ғылыми-технологиялық бастамалар орталығы (бұдан әрі </w:t>
      </w:r>
      <w:r>
        <w:rPr>
          <w:rFonts w:ascii="Times New Roman" w:hAnsi="Times New Roman" w:cs="Times New Roman"/>
          <w:sz w:val="28"/>
          <w:szCs w:val="24"/>
          <w:lang w:val="kk-KZ"/>
        </w:rPr>
        <w:t>–</w:t>
      </w:r>
      <w:r w:rsidRPr="00A524EF">
        <w:rPr>
          <w:rFonts w:ascii="Times New Roman" w:hAnsi="Times New Roman" w:cs="Times New Roman"/>
          <w:sz w:val="28"/>
          <w:szCs w:val="24"/>
          <w:lang w:val="kk-KZ"/>
        </w:rPr>
        <w:t xml:space="preserve"> ҒТБО) құр</w:t>
      </w:r>
      <w:r>
        <w:rPr>
          <w:rFonts w:ascii="Times New Roman" w:hAnsi="Times New Roman" w:cs="Times New Roman"/>
          <w:sz w:val="28"/>
          <w:szCs w:val="24"/>
          <w:lang w:val="kk-KZ"/>
        </w:rPr>
        <w:t>ыл</w:t>
      </w:r>
      <w:r w:rsidRPr="00A524EF">
        <w:rPr>
          <w:rFonts w:ascii="Times New Roman" w:hAnsi="Times New Roman" w:cs="Times New Roman"/>
          <w:sz w:val="28"/>
          <w:szCs w:val="24"/>
          <w:lang w:val="kk-KZ"/>
        </w:rPr>
        <w:t>ды. Қазіргі уақытта ҒЗТКЖ жобаларын қаржыландыруға ҒТБО</w:t>
      </w:r>
      <w:r>
        <w:rPr>
          <w:rFonts w:ascii="Times New Roman" w:hAnsi="Times New Roman" w:cs="Times New Roman"/>
          <w:sz w:val="28"/>
          <w:szCs w:val="24"/>
          <w:lang w:val="kk-KZ"/>
        </w:rPr>
        <w:t>-да</w:t>
      </w:r>
      <w:r w:rsidRPr="00A524EF">
        <w:rPr>
          <w:rFonts w:ascii="Times New Roman" w:hAnsi="Times New Roman" w:cs="Times New Roman"/>
          <w:sz w:val="28"/>
          <w:szCs w:val="24"/>
          <w:lang w:val="kk-KZ"/>
        </w:rPr>
        <w:t xml:space="preserve"> 316,2 млн теңге жинақталған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. </w:t>
      </w:r>
      <w:r w:rsidRPr="00A524EF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Ғылыми жобаларды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ң</w:t>
      </w:r>
      <w:r w:rsidRPr="00A524EF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орындаушылар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ы</w:t>
      </w:r>
      <w:r w:rsidRPr="00A524EF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 отандық ҒЗИ, университеттер, ғылыми орталықтар мен технологиялық компаниялар арасында ашық конкурстар негізінде таңдалады.</w:t>
      </w:r>
    </w:p>
    <w:p w:rsidR="00D8254E" w:rsidRPr="00A524EF" w:rsidRDefault="00D8254E" w:rsidP="00D8254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24EF">
        <w:rPr>
          <w:rFonts w:ascii="Times New Roman" w:hAnsi="Times New Roman" w:cs="Times New Roman"/>
          <w:sz w:val="28"/>
          <w:szCs w:val="28"/>
          <w:lang w:val="kk-KZ"/>
        </w:rPr>
        <w:t>Бұл шаралар жер қойнауын пайдаланушылардың нақты нәтижелерге бағдарланған ғылыми зерттеулерді бақылау</w:t>
      </w:r>
      <w:r w:rsidR="0001638B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A524EF">
        <w:rPr>
          <w:rFonts w:ascii="Times New Roman" w:hAnsi="Times New Roman" w:cs="Times New Roman"/>
          <w:sz w:val="28"/>
          <w:szCs w:val="28"/>
          <w:lang w:val="kk-KZ"/>
        </w:rPr>
        <w:t xml:space="preserve"> мен қолдау</w:t>
      </w:r>
      <w:r w:rsidR="0001638B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Pr="00A524EF">
        <w:rPr>
          <w:rFonts w:ascii="Times New Roman" w:hAnsi="Times New Roman" w:cs="Times New Roman"/>
          <w:sz w:val="28"/>
          <w:szCs w:val="28"/>
          <w:lang w:val="kk-KZ"/>
        </w:rPr>
        <w:t>ың тиімді жүйесін қалыптастыруға, ғылымға бөлінетін қаражат көлемін ЖІӨ</w:t>
      </w:r>
      <w:r>
        <w:rPr>
          <w:rFonts w:ascii="Times New Roman" w:hAnsi="Times New Roman" w:cs="Times New Roman"/>
          <w:sz w:val="28"/>
          <w:szCs w:val="28"/>
          <w:lang w:val="kk-KZ"/>
        </w:rPr>
        <w:t>-нің 1%</w:t>
      </w:r>
      <w:r w:rsidRPr="00A524E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1638B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A524EF">
        <w:rPr>
          <w:rFonts w:ascii="Times New Roman" w:hAnsi="Times New Roman" w:cs="Times New Roman"/>
          <w:sz w:val="28"/>
          <w:szCs w:val="28"/>
          <w:lang w:val="kk-KZ"/>
        </w:rPr>
        <w:t>на дейін ұлғайтуға мүмкіндік береді.</w:t>
      </w:r>
    </w:p>
    <w:p w:rsidR="00D8254E" w:rsidRDefault="00D8254E" w:rsidP="00D8254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Жалпы осы бағыттағы жұмыс жалғасады </w:t>
      </w:r>
      <w:r w:rsidRPr="00A524EF">
        <w:rPr>
          <w:rFonts w:ascii="Times New Roman" w:hAnsi="Times New Roman" w:cs="Times New Roman"/>
          <w:sz w:val="28"/>
          <w:szCs w:val="28"/>
          <w:lang w:val="kk-KZ"/>
        </w:rPr>
        <w:t>және Үкіметтің тұрақты бақылауында.</w:t>
      </w:r>
    </w:p>
    <w:p w:rsidR="00D8254E" w:rsidRDefault="00D8254E" w:rsidP="00D8254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8254E" w:rsidRPr="00A524EF" w:rsidRDefault="00D8254E" w:rsidP="00D8254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8254E" w:rsidRPr="00A524EF" w:rsidRDefault="00D8254E" w:rsidP="00D8254E">
      <w:pPr>
        <w:tabs>
          <w:tab w:val="left" w:pos="993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FFFFFF" w:fill="FFFFFF"/>
          <w:lang w:val="kk-KZ"/>
        </w:rPr>
      </w:pPr>
      <w:r w:rsidRPr="00A524EF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FFFFFF" w:fill="FFFFFF"/>
          <w:lang w:val="kk-KZ"/>
        </w:rPr>
        <w:t>О. Бектенов</w:t>
      </w:r>
    </w:p>
    <w:p w:rsidR="00D8254E" w:rsidRDefault="00D8254E" w:rsidP="00D8254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  <w:lang w:val="kk-KZ"/>
        </w:rPr>
      </w:pPr>
    </w:p>
    <w:p w:rsidR="00D8254E" w:rsidRDefault="00D8254E" w:rsidP="00D8254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  <w:lang w:val="kk-KZ"/>
        </w:rPr>
      </w:pPr>
    </w:p>
    <w:p w:rsidR="00D8254E" w:rsidRDefault="00D8254E" w:rsidP="00D8254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  <w:lang w:val="kk-KZ"/>
        </w:rPr>
      </w:pPr>
    </w:p>
    <w:p w:rsidR="00D8254E" w:rsidRDefault="00D8254E" w:rsidP="00D8254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  <w:lang w:val="kk-KZ"/>
        </w:rPr>
      </w:pPr>
    </w:p>
    <w:p w:rsidR="00D8254E" w:rsidRDefault="00D8254E" w:rsidP="00D8254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  <w:lang w:val="kk-KZ"/>
        </w:rPr>
      </w:pPr>
    </w:p>
    <w:p w:rsidR="00D8254E" w:rsidRDefault="00D8254E" w:rsidP="00D8254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  <w:lang w:val="kk-KZ"/>
        </w:rPr>
      </w:pPr>
    </w:p>
    <w:p w:rsidR="00D8254E" w:rsidRDefault="00D8254E" w:rsidP="00D8254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  <w:lang w:val="kk-KZ"/>
        </w:rPr>
      </w:pPr>
    </w:p>
    <w:p w:rsidR="00D8254E" w:rsidRDefault="00D8254E" w:rsidP="00D8254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  <w:lang w:val="kk-KZ"/>
        </w:rPr>
      </w:pPr>
    </w:p>
    <w:p w:rsidR="00D8254E" w:rsidRPr="00A524EF" w:rsidRDefault="00D8254E" w:rsidP="00D8254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  <w:lang w:val="kk-KZ"/>
        </w:rPr>
      </w:pPr>
      <w:r w:rsidRPr="00A524EF">
        <w:rPr>
          <w:rFonts w:ascii="Times New Roman" w:eastAsia="Times New Roman" w:hAnsi="Times New Roman" w:cs="Times New Roman"/>
          <w:i/>
          <w:sz w:val="20"/>
          <w:szCs w:val="20"/>
          <w:lang w:val="kk-KZ"/>
        </w:rPr>
        <w:t>Сейтенова Р.Р., 75-01-28</w:t>
      </w:r>
    </w:p>
    <w:p w:rsidR="001E77E2" w:rsidRPr="00D8254E" w:rsidRDefault="001E77E2" w:rsidP="00D8254E">
      <w:pPr>
        <w:rPr>
          <w:lang w:val="kk-KZ"/>
        </w:rPr>
      </w:pPr>
    </w:p>
    <w:sectPr w:rsidR="001E77E2" w:rsidRPr="00D8254E" w:rsidSect="00D8254E">
      <w:headerReference w:type="default" r:id="rId7"/>
      <w:headerReference w:type="first" r:id="rId8"/>
      <w:pgSz w:w="11906" w:h="16838"/>
      <w:pgMar w:top="1134" w:right="851" w:bottom="1134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3C5" w:rsidRDefault="00A473C5" w:rsidP="00F55F2E">
      <w:pPr>
        <w:spacing w:after="0" w:line="240" w:lineRule="auto"/>
      </w:pPr>
      <w:r>
        <w:separator/>
      </w:r>
    </w:p>
  </w:endnote>
  <w:endnote w:type="continuationSeparator" w:id="0">
    <w:p w:rsidR="00A473C5" w:rsidRDefault="00A473C5" w:rsidP="00F5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3C5" w:rsidRDefault="00A473C5" w:rsidP="00F55F2E">
      <w:pPr>
        <w:spacing w:after="0" w:line="240" w:lineRule="auto"/>
      </w:pPr>
      <w:r>
        <w:separator/>
      </w:r>
    </w:p>
  </w:footnote>
  <w:footnote w:type="continuationSeparator" w:id="0">
    <w:p w:rsidR="00A473C5" w:rsidRDefault="00A473C5" w:rsidP="00F55F2E">
      <w:pPr>
        <w:spacing w:after="0" w:line="240" w:lineRule="auto"/>
      </w:pPr>
      <w:r>
        <w:continuationSeparator/>
      </w:r>
    </w:p>
  </w:footnote>
  <w:footnote w:id="1">
    <w:p w:rsidR="00D8254E" w:rsidRPr="0025296D" w:rsidRDefault="00D8254E" w:rsidP="00D8254E">
      <w:pPr>
        <w:pStyle w:val="a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5296D">
        <w:rPr>
          <w:i/>
          <w:color w:val="000000"/>
          <w:sz w:val="24"/>
          <w:szCs w:val="16"/>
          <w:vertAlign w:val="superscript"/>
          <w:lang w:val="kk-KZ"/>
        </w:rPr>
        <w:footnoteRef/>
      </w:r>
      <w:r w:rsidRPr="0025296D">
        <w:rPr>
          <w:rFonts w:ascii="Times New Roman" w:hAnsi="Times New Roman" w:cs="Times New Roman"/>
          <w:i/>
          <w:color w:val="000000"/>
          <w:sz w:val="24"/>
          <w:szCs w:val="16"/>
          <w:vertAlign w:val="superscript"/>
          <w:lang w:val="kk-KZ"/>
        </w:rPr>
        <w:t xml:space="preserve"> </w:t>
      </w:r>
      <w:r w:rsidRPr="0025296D"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  <w:t xml:space="preserve">Энергетика министрінің 2023 жылғы 29 желтоқсандағы №493, Өнеркәсіп және құрылыс министрінің </w:t>
      </w:r>
      <w:r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  <w:t xml:space="preserve">                 </w:t>
      </w:r>
      <w:r w:rsidRPr="0025296D"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  <w:t>2023 жылғы 15 қарашадағы №81 бұйрықтары бекітілді.</w:t>
      </w:r>
    </w:p>
  </w:footnote>
  <w:footnote w:id="2">
    <w:p w:rsidR="00D8254E" w:rsidRPr="00544454" w:rsidRDefault="00D8254E" w:rsidP="00D8254E">
      <w:pPr>
        <w:pStyle w:val="a9"/>
        <w:jc w:val="both"/>
        <w:rPr>
          <w:lang w:val="kk-KZ"/>
        </w:rPr>
      </w:pPr>
      <w:r w:rsidRPr="008F7EE0">
        <w:rPr>
          <w:rStyle w:val="ab"/>
          <w:sz w:val="24"/>
        </w:rPr>
        <w:footnoteRef/>
      </w:r>
      <w:r w:rsidRPr="008F7EE0">
        <w:rPr>
          <w:sz w:val="24"/>
          <w:lang w:val="kk-KZ"/>
        </w:rPr>
        <w:t xml:space="preserve"> </w:t>
      </w:r>
      <w:r>
        <w:rPr>
          <w:rFonts w:ascii="Times New Roman" w:eastAsia="Arial" w:hAnsi="Times New Roman" w:cs="Times New Roman"/>
          <w:bCs/>
          <w:i/>
          <w:color w:val="000000"/>
          <w:sz w:val="20"/>
          <w:szCs w:val="20"/>
          <w:lang w:val="kk-KZ"/>
        </w:rPr>
        <w:t>Энергетика</w:t>
      </w:r>
      <w:r w:rsidRPr="008F7EE0">
        <w:rPr>
          <w:rFonts w:ascii="Times New Roman" w:eastAsia="Arial" w:hAnsi="Times New Roman" w:cs="Times New Roman"/>
          <w:bCs/>
          <w:i/>
          <w:color w:val="000000"/>
          <w:sz w:val="20"/>
          <w:szCs w:val="20"/>
          <w:lang w:val="kk-KZ"/>
        </w:rPr>
        <w:t xml:space="preserve"> министрінің 20</w:t>
      </w:r>
      <w:r>
        <w:rPr>
          <w:rFonts w:ascii="Times New Roman" w:eastAsia="Arial" w:hAnsi="Times New Roman" w:cs="Times New Roman"/>
          <w:bCs/>
          <w:i/>
          <w:color w:val="000000"/>
          <w:sz w:val="20"/>
          <w:szCs w:val="20"/>
          <w:lang w:val="kk-KZ"/>
        </w:rPr>
        <w:t>23</w:t>
      </w:r>
      <w:r w:rsidRPr="008F7EE0">
        <w:rPr>
          <w:rFonts w:ascii="Times New Roman" w:eastAsia="Arial" w:hAnsi="Times New Roman" w:cs="Times New Roman"/>
          <w:bCs/>
          <w:i/>
          <w:color w:val="000000"/>
          <w:sz w:val="20"/>
          <w:szCs w:val="20"/>
          <w:lang w:val="kk-KZ"/>
        </w:rPr>
        <w:t xml:space="preserve"> жылғы </w:t>
      </w:r>
      <w:r>
        <w:rPr>
          <w:rFonts w:ascii="Times New Roman" w:eastAsia="Arial" w:hAnsi="Times New Roman" w:cs="Times New Roman"/>
          <w:bCs/>
          <w:i/>
          <w:color w:val="000000"/>
          <w:sz w:val="20"/>
          <w:szCs w:val="20"/>
          <w:lang w:val="kk-KZ"/>
        </w:rPr>
        <w:t>5 қазандағы</w:t>
      </w:r>
      <w:r w:rsidRPr="008F7EE0">
        <w:rPr>
          <w:rFonts w:ascii="Times New Roman" w:eastAsia="Arial" w:hAnsi="Times New Roman" w:cs="Times New Roman"/>
          <w:bCs/>
          <w:i/>
          <w:color w:val="000000"/>
          <w:sz w:val="20"/>
          <w:szCs w:val="20"/>
          <w:lang w:val="kk-KZ"/>
        </w:rPr>
        <w:t xml:space="preserve"> № </w:t>
      </w:r>
      <w:r>
        <w:rPr>
          <w:rFonts w:ascii="Times New Roman" w:eastAsia="Arial" w:hAnsi="Times New Roman" w:cs="Times New Roman"/>
          <w:bCs/>
          <w:i/>
          <w:color w:val="000000"/>
          <w:sz w:val="20"/>
          <w:szCs w:val="20"/>
          <w:lang w:val="kk-KZ"/>
        </w:rPr>
        <w:t>356</w:t>
      </w:r>
      <w:r w:rsidRPr="008F7EE0">
        <w:rPr>
          <w:rFonts w:ascii="Times New Roman" w:eastAsia="Arial" w:hAnsi="Times New Roman" w:cs="Times New Roman"/>
          <w:bCs/>
          <w:i/>
          <w:color w:val="000000"/>
          <w:sz w:val="20"/>
          <w:szCs w:val="20"/>
          <w:lang w:val="kk-KZ"/>
        </w:rPr>
        <w:t xml:space="preserve"> және </w:t>
      </w:r>
      <w:r>
        <w:rPr>
          <w:rFonts w:ascii="Times New Roman" w:eastAsia="Arial" w:hAnsi="Times New Roman" w:cs="Times New Roman"/>
          <w:bCs/>
          <w:i/>
          <w:color w:val="000000"/>
          <w:sz w:val="20"/>
          <w:szCs w:val="20"/>
          <w:lang w:val="kk-KZ"/>
        </w:rPr>
        <w:t>Ғылым және жоғары білім министрлінің                   2023 жылғы 5 қазандағы №518</w:t>
      </w:r>
      <w:r w:rsidRPr="008F7EE0">
        <w:rPr>
          <w:rFonts w:ascii="Times New Roman" w:eastAsia="Arial" w:hAnsi="Times New Roman" w:cs="Times New Roman"/>
          <w:bCs/>
          <w:i/>
          <w:color w:val="000000"/>
          <w:sz w:val="20"/>
          <w:szCs w:val="20"/>
          <w:lang w:val="kk-KZ"/>
        </w:rPr>
        <w:t xml:space="preserve"> 245 бірлескен бұйрығы, Әділет министрлігінде </w:t>
      </w:r>
      <w:r>
        <w:rPr>
          <w:rFonts w:ascii="Times New Roman" w:eastAsia="Arial" w:hAnsi="Times New Roman" w:cs="Times New Roman"/>
          <w:bCs/>
          <w:i/>
          <w:color w:val="000000"/>
          <w:sz w:val="20"/>
          <w:szCs w:val="20"/>
          <w:lang w:val="kk-KZ"/>
        </w:rPr>
        <w:t xml:space="preserve">2023 </w:t>
      </w:r>
      <w:r w:rsidRPr="008F7EE0">
        <w:rPr>
          <w:rFonts w:ascii="Times New Roman" w:eastAsia="Arial" w:hAnsi="Times New Roman" w:cs="Times New Roman"/>
          <w:bCs/>
          <w:i/>
          <w:color w:val="000000"/>
          <w:sz w:val="20"/>
          <w:szCs w:val="20"/>
          <w:lang w:val="kk-KZ"/>
        </w:rPr>
        <w:t xml:space="preserve">жылы </w:t>
      </w:r>
      <w:r>
        <w:rPr>
          <w:rFonts w:ascii="Times New Roman" w:eastAsia="Arial" w:hAnsi="Times New Roman" w:cs="Times New Roman"/>
          <w:bCs/>
          <w:i/>
          <w:color w:val="000000"/>
          <w:sz w:val="20"/>
          <w:szCs w:val="20"/>
          <w:lang w:val="kk-KZ"/>
        </w:rPr>
        <w:t>9 қазанда</w:t>
      </w:r>
      <w:r w:rsidRPr="008F7EE0">
        <w:rPr>
          <w:rFonts w:ascii="Times New Roman" w:eastAsia="Arial" w:hAnsi="Times New Roman" w:cs="Times New Roman"/>
          <w:bCs/>
          <w:i/>
          <w:color w:val="000000"/>
          <w:sz w:val="20"/>
          <w:szCs w:val="20"/>
          <w:lang w:val="kk-KZ"/>
        </w:rPr>
        <w:t xml:space="preserve"> № </w:t>
      </w:r>
      <w:r>
        <w:rPr>
          <w:rFonts w:ascii="Times New Roman" w:eastAsia="Arial" w:hAnsi="Times New Roman" w:cs="Times New Roman"/>
          <w:bCs/>
          <w:i/>
          <w:color w:val="000000"/>
          <w:sz w:val="20"/>
          <w:szCs w:val="20"/>
          <w:lang w:val="kk-KZ"/>
        </w:rPr>
        <w:t>33520</w:t>
      </w:r>
      <w:r w:rsidRPr="008F7EE0">
        <w:rPr>
          <w:rFonts w:ascii="Times New Roman" w:eastAsia="Arial" w:hAnsi="Times New Roman" w:cs="Times New Roman"/>
          <w:bCs/>
          <w:i/>
          <w:color w:val="000000"/>
          <w:sz w:val="20"/>
          <w:szCs w:val="20"/>
          <w:lang w:val="kk-KZ"/>
        </w:rPr>
        <w:t xml:space="preserve"> болып тіркелді</w:t>
      </w:r>
      <w:r>
        <w:rPr>
          <w:rFonts w:ascii="Times New Roman" w:eastAsia="Arial" w:hAnsi="Times New Roman" w:cs="Times New Roman"/>
          <w:bCs/>
          <w:i/>
          <w:color w:val="000000"/>
          <w:sz w:val="20"/>
          <w:szCs w:val="20"/>
          <w:lang w:val="kk-KZ"/>
        </w:rPr>
        <w:t>.</w:t>
      </w:r>
    </w:p>
    <w:p w:rsidR="00D8254E" w:rsidRPr="008F7EE0" w:rsidRDefault="00D8254E" w:rsidP="00D8254E">
      <w:pPr>
        <w:pStyle w:val="a9"/>
        <w:rPr>
          <w:lang w:val="kk-KZ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93081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8254E" w:rsidRDefault="00D8254E">
        <w:pPr>
          <w:pStyle w:val="a5"/>
          <w:jc w:val="center"/>
        </w:pPr>
      </w:p>
      <w:p w:rsidR="00D8254E" w:rsidRPr="00D8254E" w:rsidRDefault="00D8254E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D8254E">
          <w:rPr>
            <w:rFonts w:ascii="Times New Roman" w:hAnsi="Times New Roman" w:cs="Times New Roman"/>
            <w:sz w:val="24"/>
          </w:rPr>
          <w:fldChar w:fldCharType="begin"/>
        </w:r>
        <w:r w:rsidRPr="00D8254E">
          <w:rPr>
            <w:rFonts w:ascii="Times New Roman" w:hAnsi="Times New Roman" w:cs="Times New Roman"/>
            <w:sz w:val="24"/>
          </w:rPr>
          <w:instrText>PAGE   \* MERGEFORMAT</w:instrText>
        </w:r>
        <w:r w:rsidRPr="00D8254E">
          <w:rPr>
            <w:rFonts w:ascii="Times New Roman" w:hAnsi="Times New Roman" w:cs="Times New Roman"/>
            <w:sz w:val="24"/>
          </w:rPr>
          <w:fldChar w:fldCharType="separate"/>
        </w:r>
        <w:r w:rsidR="00D93BF0">
          <w:rPr>
            <w:rFonts w:ascii="Times New Roman" w:hAnsi="Times New Roman" w:cs="Times New Roman"/>
            <w:noProof/>
            <w:sz w:val="24"/>
          </w:rPr>
          <w:t>2</w:t>
        </w:r>
        <w:r w:rsidRPr="00D8254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D8254E" w:rsidRDefault="00D8254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54E" w:rsidRDefault="00D8254E">
    <w:pPr>
      <w:pStyle w:val="a5"/>
      <w:jc w:val="center"/>
    </w:pPr>
  </w:p>
  <w:p w:rsidR="00D8254E" w:rsidRDefault="00D93BF0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627888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93BF0" w:rsidRPr="00D93BF0" w:rsidRDefault="00D93BF0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04.05.2024 ЭҚАБЖ МО (7.23.0 нұсқасы)  ЭЦҚ-ны тексерудің нәтижесі оң.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94.4pt;margin-top:49.4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" filled="f" stroked="f" strokeweight=".5pt">
              <v:fill o:detectmouseclick="t"/>
              <v:textbox style="layout-flow:vertical;mso-layout-flow-alt:bottom-to-top">
                <w:txbxContent>
                  <w:p w:rsidR="00D93BF0" w:rsidRPr="00D93BF0" w:rsidRDefault="00D93BF0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04.05.2024 ЭҚАБЖ МО (7.23.0 нұсқасы)  ЭЦҚ-ны тексерудің нәтижесі оң.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aem0vV96hpRG7XJEFrLauCsvMZAxoMQa/xlcus/7AWjJVgnqhvq4DbHDPz00OMghINqUCGw0cHAPiQAhumYeg==" w:salt="xRAWzocU4JuNO8D3eSuzKA==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8C"/>
    <w:rsid w:val="0001638B"/>
    <w:rsid w:val="000418D8"/>
    <w:rsid w:val="000A2792"/>
    <w:rsid w:val="000B1AD8"/>
    <w:rsid w:val="00164A00"/>
    <w:rsid w:val="001D619B"/>
    <w:rsid w:val="001E77E2"/>
    <w:rsid w:val="00206A25"/>
    <w:rsid w:val="00222949"/>
    <w:rsid w:val="002C13C5"/>
    <w:rsid w:val="00340F97"/>
    <w:rsid w:val="00363BD7"/>
    <w:rsid w:val="0053529D"/>
    <w:rsid w:val="005D6BA6"/>
    <w:rsid w:val="006F1A31"/>
    <w:rsid w:val="007C17EA"/>
    <w:rsid w:val="008B21DE"/>
    <w:rsid w:val="008C1CBA"/>
    <w:rsid w:val="008C3706"/>
    <w:rsid w:val="008C5AA7"/>
    <w:rsid w:val="008C668C"/>
    <w:rsid w:val="009728D1"/>
    <w:rsid w:val="00977196"/>
    <w:rsid w:val="0098002E"/>
    <w:rsid w:val="00A45BE8"/>
    <w:rsid w:val="00A473C5"/>
    <w:rsid w:val="00B73B5E"/>
    <w:rsid w:val="00BB317C"/>
    <w:rsid w:val="00D8254E"/>
    <w:rsid w:val="00D93BF0"/>
    <w:rsid w:val="00DF7DC0"/>
    <w:rsid w:val="00E31790"/>
    <w:rsid w:val="00EC69F6"/>
    <w:rsid w:val="00F55F2E"/>
    <w:rsid w:val="00F80DF5"/>
    <w:rsid w:val="00F90A75"/>
    <w:rsid w:val="00FB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AF12CAF-2AAC-4540-9423-EBCCB9B9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54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C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5F2E"/>
  </w:style>
  <w:style w:type="paragraph" w:styleId="a7">
    <w:name w:val="footer"/>
    <w:basedOn w:val="a"/>
    <w:link w:val="a8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5F2E"/>
  </w:style>
  <w:style w:type="paragraph" w:styleId="a9">
    <w:name w:val="footnote text"/>
    <w:basedOn w:val="a"/>
    <w:link w:val="aa"/>
    <w:uiPriority w:val="99"/>
    <w:semiHidden/>
    <w:unhideWhenUsed/>
    <w:rsid w:val="00D8254E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basedOn w:val="a0"/>
    <w:link w:val="a9"/>
    <w:uiPriority w:val="99"/>
    <w:semiHidden/>
    <w:rsid w:val="00D8254E"/>
    <w:rPr>
      <w:rFonts w:ascii="Calibri" w:eastAsia="Calibri" w:hAnsi="Calibri" w:cs="Calibri"/>
      <w:sz w:val="18"/>
    </w:rPr>
  </w:style>
  <w:style w:type="character" w:styleId="ab">
    <w:name w:val="footnote reference"/>
    <w:basedOn w:val="a0"/>
    <w:uiPriority w:val="99"/>
    <w:unhideWhenUsed/>
    <w:rsid w:val="00D825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928</Words>
  <Characters>5290</Characters>
  <Application>Microsoft Office Word</Application>
  <DocSecurity>8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Габдуллина Жанна</cp:lastModifiedBy>
  <cp:revision>24</cp:revision>
  <cp:lastPrinted>2024-04-19T06:56:00Z</cp:lastPrinted>
  <dcterms:created xsi:type="dcterms:W3CDTF">2024-04-17T10:22:00Z</dcterms:created>
  <dcterms:modified xsi:type="dcterms:W3CDTF">2024-05-04T04:35:00Z</dcterms:modified>
</cp:coreProperties>
</file>