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ADF" w:rsidRDefault="006A3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-142"/>
        <w:rPr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470186" cy="213687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6470185" cy="21368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509.5pt;height:168.3pt;" stroked="false">
                <v:path textboxrect="0,0,0,0"/>
                <v:imagedata r:id="rId12" o:title=""/>
              </v:shape>
            </w:pict>
          </mc:Fallback>
        </mc:AlternateContent>
      </w:r>
    </w:p>
    <w:p w:rsidR="008C5ADF" w:rsidRDefault="006A3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8C5ADF" w:rsidRDefault="006A3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8C5ADF" w:rsidRDefault="006A3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Шығыс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облысының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әкімдігі</w:t>
      </w:r>
      <w:proofErr w:type="spellEnd"/>
    </w:p>
    <w:p w:rsidR="008C5ADF" w:rsidRDefault="006A3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8C5ADF" w:rsidRDefault="006A3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8C5ADF" w:rsidRDefault="006A3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Қазіргі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уақытта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Оқу-ағарту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министрлігі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бұдан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әрі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Министрлік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облыстардың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Астана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Алматы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Шымкент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қалаларының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басқармаларының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қызметіне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кешенді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мониторинг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жүргізуде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C5ADF" w:rsidRDefault="006A3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Мониторинг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барысында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Министрліктің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комитеті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төрағасының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орынбасары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С.Умербекова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бастаған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Шығыс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облысының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ұйымдарын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аралады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C5ADF" w:rsidRDefault="006A3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айтқанда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депутаттар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қоғам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өкілдеріне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жаңа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ғимарат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қатысты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бірнеше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өтініштер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түскен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Риддер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қаласындағы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Шаңырақ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көп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бейінді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мектеп-гимназиясы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КММ-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болды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Аталған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орнының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ата-аналарымен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кездесу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ұйымдастырылды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«№ 11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КММ-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ғимаратындағы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мұғалімдер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оқушыларды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оқытатын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мәртебесін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көшіру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талаптар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тыңдалды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8C5ADF" w:rsidRDefault="006A3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Анықтамалық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:</w:t>
      </w:r>
    </w:p>
    <w:p w:rsidR="008C5ADF" w:rsidRDefault="006A3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ab/>
        <w:t>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Шаңырақ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көп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бейінді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мектеп-гимназиясы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» КММ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жобалық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қуаты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666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орынды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құрайды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546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оқушы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оқиды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Білім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беру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ұйымы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екі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корпуста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біріншісі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1936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жылы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салынған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негізгі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орта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мектеп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екіншісі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1956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жылы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салынған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бұрынғы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Пионерлер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сарайының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ғимаратында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бастауыш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мектеп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орналасқан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Жолдың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тікелей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маңында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жылдамдықты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төмендететін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жолдар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>,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Абайлаңыз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балалар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белгілері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жоқ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Екі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ғимаратта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жөндеуді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материалдық-техникалық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жабдықтарды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жаңартуды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қажет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етеді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мектеп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жабдықтары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жартылай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жаңартылған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, 11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интерактивті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тақта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парталар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мен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орындықтар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жартылай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жаңартылған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пән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кабинеттері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бар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химия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</w:rPr>
        <w:t>кабинетіі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ауа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тазартқышқа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қосылмаған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пайдаланылмаған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). «№11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жалпы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білім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беретін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мектеп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» КММ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мектептің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жобалық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қуаты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600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орынды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құрайды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, 324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оқушы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оқиды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, 2022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жылы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пайдалануға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берілді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білім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беру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қызметіне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лицензия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жоқ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Аралас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тілді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мектеп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жаңа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ауданда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орналасқан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</w:p>
    <w:p w:rsidR="008C5ADF" w:rsidRDefault="006A3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Жалпы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Риддер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қаласында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ішінде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аралас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3,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оқытатын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12,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мемлекеттік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оқытатын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Кейбір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мектептерде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оқушы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орыны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оқытатын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мектептердегі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оқушылар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контингенті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15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,4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%,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оқытатындар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84,6%.</w:t>
      </w:r>
    </w:p>
    <w:p w:rsidR="008C5ADF" w:rsidRDefault="006A3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Осыған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байланысты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«№11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КММ-н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оқытатын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ретінде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анықтауда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тәуекелдер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C5ADF" w:rsidRDefault="006A3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Бұл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ретте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облыс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әкімдігі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300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орындық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оқытатын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салуды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жоспарлап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отыр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сондай-ақ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Жайлы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ұлттық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жобасы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бұдан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әрі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Ұлттық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жоба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шеңберінде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 600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орындық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аралас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оқытатын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жоспарланған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C5ADF" w:rsidRDefault="006A3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Жоғарыда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айтылғандардың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негізінде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мыналар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ұсынылады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8C5ADF" w:rsidRDefault="006A3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Мониторинг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тобының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ұсыныстарын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ескеру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C5ADF" w:rsidRDefault="006A3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2.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Шаңырақ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көп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бейінді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мектеп-гимназиясы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КММ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ғимаратына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техникалық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байқау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жүргізу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C5ADF" w:rsidRDefault="006A3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Ұлттық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жоба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шеңберінде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салынып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жатқан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600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орындық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Риддер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қаласы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Киров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көшесі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, № 1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жер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учаскесі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оқытатын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белгіленсін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C5ADF" w:rsidRDefault="006A3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Риддер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қаласындағы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оқушылар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мектептерді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оңтайландыру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жобалық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қуаттылығынан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төмен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емес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көлемде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жаңа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мектептерді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оқушылардың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толтыруын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қамтамасыз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шараларын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қабылдасын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C5ADF" w:rsidRDefault="006A3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Риддер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қаласында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қосымша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жүйесін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дамыту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шаралар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қабылдансын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C5ADF" w:rsidRDefault="006A3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Қабылданған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шешімдер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қабылданған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шаралар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ақпаратты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Министрлікке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2023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жылғы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шілдеден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кешіктірмей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жіберуіңізді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сұраймыз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C5ADF" w:rsidRPr="006A330E" w:rsidRDefault="006A3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lang w:val="ru-RU"/>
        </w:rPr>
      </w:pPr>
      <w:r w:rsidRPr="006A330E">
        <w:rPr>
          <w:rFonts w:ascii="Times New Roman" w:eastAsia="Times New Roman" w:hAnsi="Times New Roman" w:cs="Times New Roman"/>
          <w:color w:val="000000"/>
          <w:sz w:val="28"/>
          <w:lang w:val="ru-RU"/>
        </w:rPr>
        <w:t>Қосымша __ п. (бақылау нәтижелері).</w:t>
      </w:r>
    </w:p>
    <w:p w:rsidR="008C5ADF" w:rsidRPr="006A330E" w:rsidRDefault="006A3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8C5ADF" w:rsidRPr="006A330E" w:rsidRDefault="006A3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8C5ADF" w:rsidRPr="006A330E" w:rsidRDefault="006A3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lang w:val="ru-RU"/>
        </w:rPr>
      </w:pPr>
      <w:r w:rsidRPr="006A330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Вице-министр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                                                                               </w:t>
      </w:r>
      <w:r w:rsidRPr="006A330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Е. Оспан</w:t>
      </w:r>
    </w:p>
    <w:p w:rsidR="008C5ADF" w:rsidRPr="006A330E" w:rsidRDefault="006A3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8C5ADF" w:rsidRPr="006A330E" w:rsidRDefault="006A3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8C5ADF" w:rsidRPr="006A330E" w:rsidRDefault="006A3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8C5ADF" w:rsidRPr="006A330E" w:rsidRDefault="006A3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8C5ADF" w:rsidRPr="006A330E" w:rsidRDefault="006A3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8C5ADF" w:rsidRPr="006A330E" w:rsidRDefault="006A3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8C5ADF" w:rsidRPr="006A330E" w:rsidRDefault="006A3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8C5ADF" w:rsidRDefault="006A3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Умербекова</w:t>
      </w:r>
      <w:proofErr w:type="spellEnd"/>
    </w:p>
    <w:p w:rsidR="008C5ADF" w:rsidRDefault="006A3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</w:rPr>
        <w:t>тел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</w:rPr>
        <w:t>. 74-15-774</w:t>
      </w:r>
    </w:p>
    <w:p w:rsidR="008C5ADF" w:rsidRDefault="006A3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8C5ADF" w:rsidRDefault="006A3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8C5ADF" w:rsidRDefault="008C5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</w:p>
    <w:p w:rsidR="008C5ADF" w:rsidRDefault="006A3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lastRenderedPageBreak/>
        <w:t> </w:t>
      </w:r>
    </w:p>
    <w:p w:rsidR="008C5ADF" w:rsidRDefault="006A3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8C5ADF" w:rsidRDefault="006A3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8C5ADF" w:rsidRDefault="006A33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sectPr w:rsidR="008C5AD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5" w:right="850" w:bottom="822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41" w:rsidRDefault="00C03A41">
      <w:pPr>
        <w:spacing w:after="0" w:line="240" w:lineRule="auto"/>
      </w:pPr>
      <w:r>
        <w:separator/>
      </w:r>
    </w:p>
  </w:endnote>
  <w:endnote w:type="continuationSeparator" w:id="0">
    <w:p w:rsidR="00C03A41" w:rsidRDefault="00C0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7FB" w:rsidRDefault="004837F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Look w:val="04A0" w:firstRow="1" w:lastRow="0" w:firstColumn="1" w:lastColumn="0" w:noHBand="0" w:noVBand="1"/>
    </w:tblPr>
    <w:tblGrid>
      <w:gridCol w:w="2063"/>
      <w:gridCol w:w="7291"/>
    </w:tblGrid>
    <w:tr w:rsidR="008C5ADF" w:rsidRPr="008646B0">
      <w:trPr>
        <w:trHeight w:val="438"/>
      </w:trPr>
      <w:tc>
        <w:tcPr>
          <w:tcW w:w="2063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8C5ADF" w:rsidRDefault="006A330E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tabs>
              <w:tab w:val="left" w:pos="4105"/>
            </w:tabs>
            <w:spacing w:after="0"/>
          </w:pPr>
          <w:r>
            <w:rPr>
              <w:noProof/>
              <w:lang w:val="ru-RU" w:eastAsia="ru-RU"/>
            </w:rPr>
            <mc:AlternateContent>
              <mc:Choice Requires="wpg">
                <w:drawing>
                  <wp:inline distT="0" distB="0" distL="0" distR="0">
                    <wp:extent cx="787400" cy="787400"/>
                    <wp:effectExtent l="0" t="0" r="0" b="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image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787400" cy="7874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62.0pt;height:62.0pt;" stroked="false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7291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8C5ADF" w:rsidRPr="006A330E" w:rsidRDefault="006A330E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tabs>
              <w:tab w:val="left" w:pos="4105"/>
            </w:tabs>
            <w:spacing w:after="0"/>
            <w:rPr>
              <w:lang w:val="ru-RU"/>
            </w:rPr>
          </w:pPr>
          <w:r w:rsidRPr="006A330E">
            <w:rPr>
              <w:color w:val="000000"/>
              <w:lang w:val="ru-RU"/>
            </w:rPr>
            <w:t xml:space="preserve">Издатель ЭЦП - Удостоверяющий центр Государственных органов, Республика Казахстан, </w:t>
          </w:r>
          <w:r>
            <w:rPr>
              <w:color w:val="000000"/>
            </w:rPr>
            <w:t>KZ</w:t>
          </w:r>
          <w:r w:rsidRPr="006A330E">
            <w:rPr>
              <w:color w:val="000000"/>
              <w:lang w:val="ru-RU"/>
            </w:rPr>
            <w:t>, САБЫРҰЛЫ, ОСПАН ЕДІЛ</w:t>
          </w:r>
        </w:p>
      </w:tc>
    </w:tr>
  </w:tbl>
  <w:p w:rsidR="008C5ADF" w:rsidRPr="006A330E" w:rsidRDefault="006A330E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 w:line="253" w:lineRule="atLeast"/>
      <w:rPr>
        <w:lang w:val="ru-RU"/>
      </w:rPr>
    </w:pPr>
    <w:r>
      <w:rPr>
        <w:color w:val="000000"/>
      </w:rPr>
      <w:t> 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7FB" w:rsidRDefault="004837F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41" w:rsidRDefault="00C03A41">
      <w:pPr>
        <w:spacing w:after="0" w:line="240" w:lineRule="auto"/>
      </w:pPr>
      <w:r>
        <w:separator/>
      </w:r>
    </w:p>
  </w:footnote>
  <w:footnote w:type="continuationSeparator" w:id="0">
    <w:p w:rsidR="00C03A41" w:rsidRDefault="00C0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7FB" w:rsidRDefault="004837F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30E" w:rsidRDefault="004837FB">
    <w:pPr>
      <w:pStyle w:val="SalemParagraph"/>
    </w:pPr>
    <w:r>
      <w:rPr>
        <w:noProof/>
        <w:lang w:val="ru-RU" w:eastAsia="ru-R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-15pt;margin-top:-15pt;width:145.5pt;height:21pt;z-index:251658240">
          <v:fill r:id="rId1" o:title=""/>
          <v:stroke r:id="rId1" o:title=""/>
          <v:shadow color="#868686"/>
          <v:textpath style="font-family:&quot;Times New Roman&quot;;font-size:8pt;v-text-kern:t" trim="t" fitpath="t" string="№ исх: 2761-1-5106/08   от: 27.07.2023&#10;№ вх: 3090/ДС-236   от: 27.07.2023"/>
        </v:shape>
      </w:pict>
    </w:r>
  </w:p>
  <w:p w:rsidR="006A330E" w:rsidRDefault="006A330E">
    <w:pPr>
      <w:pStyle w:val="SalemParagraph"/>
    </w:pPr>
  </w:p>
  <w:p w:rsidR="008C5ADF" w:rsidRDefault="004837FB">
    <w:pPr>
      <w:pStyle w:val="SalemParagraph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660273</wp:posOffset>
              </wp:positionV>
              <wp:extent cx="381000" cy="8019098"/>
              <wp:effectExtent l="0" t="0" r="0" b="127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837FB" w:rsidRPr="004837FB" w:rsidRDefault="004837F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 w:rsidRPr="008646B0"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  <w:lang w:val="ru-RU"/>
                            </w:rPr>
                            <w:t xml:space="preserve">02.08.2023 ЕСЭДО ГО (версия 7.23.0)  Копия электронного документа.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Положительный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результат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проверки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08.6pt;margin-top:52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OkAwMAAFsGAAAOAAAAZHJzL2Uyb0RvYy54bWysVbFu2zAQ3Qv0HwjujiRbsS0jcuAkcFHA&#10;SIImRWaaImMhFKmStC036NC9v9B/6NChW3/B+aMeKclx0g5N0YUi794d794dT0fHVSHQimmTK5ni&#10;6CDEiEmqslzepvj99bQzxMhYIjMilGQp3jCDj8evXx2tyxHrqoUSGdMInEgzWpcpXlhbjoLA0AUr&#10;iDlQJZOg5EoXxMJR3waZJmvwXoigG4b9YK10VmpFmTEgPauVeOz9c86oveDcMItEiiE261ft17lb&#10;g/ERGd1qUi5y2oRB/iGKguQSLt25OiOWoKXOf3NV5FQro7g9oKoIFOc5ZT4HyCYKn2VztSAl87kA&#10;Oabc0WT+n1t6vrrUKM9S3MNIkgJKtP26/bb9vv25/fHw+eEL6jmO1qUZAfSqBLCtTlQFtW7lBoQu&#10;9Yrrwn0hKQR6YHuzY5hVFlEQ9oZRGIKGgmoYRkmYDJ2b4NG61Ma+YapAbpNiDRX0xJLVzNga2kLc&#10;ZVJNcyF8FYVE6xT3e4ehN9hpwLmQDst8P9Ru4FRZ2Ho5BOdrdZ9E3Tg86SadaX846MTT+LCTDMJh&#10;ByI9SfphnMRn00/OexSPFnmWMTnLJWv7Jor/ri5NB9cV953zJHCjRJ65rFxsLtdTodGKQAPPBaF3&#10;DV97qOBpOJ5OyK79+iwDV8G6Un5nN4I5/0K+Yxzq7wvmBP7lsd2VhFImra+15xHQDsUhvJcYNnhn&#10;WlfhJcY7C3+zknZnXORSaV/tZ2Fnd23IvMYDGXt5u62t5lXT2XOVbaCxtYKGg+Y0JZ3mwPuMGHtJ&#10;NMwDEMKMsxewcKGgy1Szw2ih9Mc/yR0+xW7tDsB8DSMmxebDkmiGkXgr4Q0nURyDyvpDfDjowkHv&#10;a+b7GrksThU0QeQD9FuHt6Ldcq2KG5iGE3cxqIikEFyKbbs9tfXgg2lK2WTiQTCFSmJn8qqkzrVj&#10;2LXcdXVDdNm8QQvNdK7aYURGz55ijXWWUk2WVvHcv1PHcU1swz1MMN+SzbR1I3L/7FGP/4TxLwAA&#10;AP//AwBQSwMEFAAGAAgAAAAhANCNgTjfAAAADgEAAA8AAABkcnMvZG93bnJldi54bWxMT0FOwzAQ&#10;vCPxB2uRuFE7BaU0xKkQKnBAHFqqqkc3XpKo8TqK3Sb8ns0JbjM7o9mZfDW6VlywD40nDclMgUAq&#10;vW2o0rD7er17BBGiIWtaT6jhBwOsiuur3GTWD7TByzZWgkMoZEZDHWOXSRnKGp0JM98hsfbte2ci&#10;076StjcDh7tWzpVKpTMN8YfadPhSY3nanp2GTfIRPu0h7igM6/HNHtZ7ej9pfXszPj+BiDjGPzNM&#10;9bk6FNzp6M9kg2iZq2QxZ++EHnjVZFGL6XRkdJ+mS5BFLv/PKH4BAAD//wMAUEsBAi0AFAAGAAgA&#10;AAAhALaDOJL+AAAA4QEAABMAAAAAAAAAAAAAAAAAAAAAAFtDb250ZW50X1R5cGVzXS54bWxQSwEC&#10;LQAUAAYACAAAACEAOP0h/9YAAACUAQAACwAAAAAAAAAAAAAAAAAvAQAAX3JlbHMvLnJlbHNQSwEC&#10;LQAUAAYACAAAACEAEnDzpAMDAABbBgAADgAAAAAAAAAAAAAAAAAuAgAAZHJzL2Uyb0RvYy54bWxQ&#10;SwECLQAUAAYACAAAACEA0I2BON8AAAAOAQAADwAAAAAAAAAAAAAAAABdBQAAZHJzL2Rvd25yZXYu&#10;eG1sUEsFBgAAAAAEAAQA8wAAAGkGAAAAAA==&#10;" filled="f" stroked="f" strokeweight=".5pt">
              <v:fill o:detectmouseclick="t"/>
              <v:textbox style="layout-flow:vertical;mso-layout-flow-alt:bottom-to-top">
                <w:txbxContent>
                  <w:p w:rsidR="004837FB" w:rsidRPr="004837FB" w:rsidRDefault="004837F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 w:rsidRPr="008646B0">
                      <w:rPr>
                        <w:rFonts w:ascii="Times New Roman" w:hAnsi="Times New Roman" w:cs="Times New Roman"/>
                        <w:color w:val="0C0000"/>
                        <w:sz w:val="14"/>
                        <w:lang w:val="ru-RU"/>
                      </w:rPr>
                      <w:t xml:space="preserve">02.08.2023 ЕСЭДО ГО (версия 7.23.0)  Копия электронного документа.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Положительный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результат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проверки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ЭЦП. </w:t>
                    </w:r>
                  </w:p>
                </w:txbxContent>
              </v:textbox>
            </v:shape>
          </w:pict>
        </mc:Fallback>
      </mc:AlternateContent>
    </w:r>
    <w:proofErr w:type="spellStart"/>
    <w:r w:rsidR="006A330E">
      <w:t>Исходящий</w:t>
    </w:r>
    <w:proofErr w:type="spellEnd"/>
    <w:r w:rsidR="006A330E">
      <w:t xml:space="preserve"> </w:t>
    </w:r>
    <w:proofErr w:type="spellStart"/>
    <w:r w:rsidR="006A330E">
      <w:t>номер</w:t>
    </w:r>
    <w:proofErr w:type="spellEnd"/>
    <w:r w:rsidR="006A330E">
      <w:t xml:space="preserve">: 5-15/3886-И </w:t>
    </w:r>
    <w:proofErr w:type="spellStart"/>
    <w:r w:rsidR="006A330E">
      <w:t>от</w:t>
    </w:r>
    <w:proofErr w:type="spellEnd"/>
    <w:r w:rsidR="006A330E">
      <w:t xml:space="preserve"> 27.06.2023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7FB" w:rsidRDefault="004837FB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DF"/>
    <w:rsid w:val="004837FB"/>
    <w:rsid w:val="006A330E"/>
    <w:rsid w:val="008646B0"/>
    <w:rsid w:val="008C5ADF"/>
    <w:rsid w:val="00C0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D5503F8-14A6-403C-BE4C-8F3C6E42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6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a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b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e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qFormat/>
    <w:pPr>
      <w:spacing w:after="200" w:line="276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SalemParagraph">
    <w:name w:val="SalemParagraph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Махсутов Жайык Жумабаевич</dc:creator>
  <dc:description/>
  <cp:lastModifiedBy>Серикова Зарема</cp:lastModifiedBy>
  <cp:revision>2</cp:revision>
  <dcterms:created xsi:type="dcterms:W3CDTF">2023-08-02T07:27:00Z</dcterms:created>
  <dcterms:modified xsi:type="dcterms:W3CDTF">2023-08-02T07:27:00Z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