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CC" w:rsidRPr="005F39DD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142"/>
        <w:rPr>
          <w:szCs w:val="28"/>
          <w:lang w:val="ru-RU"/>
        </w:rPr>
      </w:pPr>
      <w:bookmarkStart w:id="0" w:name="_GoBack"/>
      <w:bookmarkEnd w:id="0"/>
      <w:r w:rsidRPr="005F39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70186" cy="213687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3" o:title=""/>
              </v:shape>
            </w:pict>
          </mc:Fallback>
        </mc:AlternateContent>
      </w:r>
    </w:p>
    <w:p w:rsidR="00A419CC" w:rsidRPr="005F39DD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A419CC" w:rsidRPr="005F39DD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102"/>
        <w:rPr>
          <w:lang w:val="ru-RU"/>
        </w:rPr>
      </w:pPr>
      <w:r>
        <w:rPr>
          <w:color w:val="000000"/>
        </w:rPr>
        <w:t> 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Акимат Восточно-Казахстанской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Министерством просвещения Республики Казахстан </w:t>
      </w: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(далее – Министерство)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сегодняшний день проводится комплексный мониторинг деятельности управлений образования областей, городов Астаны, Алматы и Шымкента. 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В ходе мониторинга группой во главе с заместителем председателя Комитета среднего образования Министерства С. Умербековой посещены организации образования Восточно-Казахстанской области.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частности, осуществлен выезд в КГУ «Многопрофильная школа-гимназия «Шаңырақ» в городе Риддер, в отношении которого неоднократно поступали обращения депутатов и представителей общественности, касательно предоставления нового здания. Организована и проведена встреча с родителями данного учебного заведения, где выслушаны требования о переводе коллектива педагогов школы и учащихся в здание КГУ «Общеобразовательная школа №11» с дальнейшим присвоением статуса школы с государственным языком обучения. 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ru-RU"/>
        </w:rPr>
        <w:t xml:space="preserve">Справочно: 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проектная мощность КГУ «Многопрофильная школа-гимназия «</w:t>
      </w:r>
      <w:proofErr w:type="gramStart"/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Шаңырақ»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  </w:t>
      </w:r>
      <w:proofErr w:type="gramEnd"/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666 мест, обучается 546 учащихся. Организация образования расположена в двух </w:t>
      </w:r>
      <w:proofErr w:type="gramStart"/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зданиях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(</w:t>
      </w:r>
      <w:proofErr w:type="gramEnd"/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первое - 1936 года постройки (основная и старшая школа), второе – 1956 года постройки расположено в бывшем здании Дворца пионеров (начальная школа). Оба здания в непосредственной близости от проезжей части, отсутствуют лежачие полицейские, указатели «Осторожно дети». Оба здания требуют ремонта и обновления материально-технического оснащения (школьное оборудование частично обновлено, имеется 11 интерактивных досок, частично обновлены парты и стулья, имеются предметные кабинеты (в кабинете химии не подключена и не используется вытяжка).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Проектная мощность школы КГУ «Общеобразовательная школа №11» 600 мест, обучается 324 учащихся, введена в эксплуатацию в 2022 году</w:t>
      </w:r>
      <w:r w:rsidRPr="00B94E1B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отсутствует лицензия на </w:t>
      </w:r>
      <w:r w:rsidRPr="00B94E1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lastRenderedPageBreak/>
        <w:t>образовательную деятельность. Школа со смешенным языком обучения и находится в новом микрорайоне.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В целом, в городе Риддер функционируют 16 школ, в т.ч. смешанные - 3, с русским языком обучения – 12, с государственным языком обучения – 1. В отдельных школах наблюдается профицит ученических мест. Контингент обучающихся школ с государственном языком обучения составляет 15,4%, с русским языком обучения – 84,6%.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В этой связи, имеются риски при определении КГУ «Общеобразовательная школа №11» как школы с казахским языком обучения.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Вместе с тем, акиматомобластизапланировано строительство школы на 300 мест с казахским языком обучения, а также в рамках Национального проекта «Комфортная школа» </w:t>
      </w:r>
      <w:r w:rsidRPr="00B94E1B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(далее – Нацпроект)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предусмотрено строительство школа со смешанным языком обучения на 600 мест.</w:t>
      </w:r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основании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вышеизложенного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предлагается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A419CC" w:rsidRPr="00B94E1B" w:rsidRDefault="00B94E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Принять в работу рекомендации мониторинговой группы.</w:t>
      </w:r>
    </w:p>
    <w:p w:rsidR="00A419CC" w:rsidRPr="00B94E1B" w:rsidRDefault="00B94E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Провести техническое обследование </w:t>
      </w:r>
      <w:proofErr w:type="gramStart"/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здания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КГУ</w:t>
      </w:r>
      <w:proofErr w:type="gramEnd"/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«Многопрофильная школа-гимназия «Шаңырақ»;</w:t>
      </w:r>
    </w:p>
    <w:p w:rsidR="00A419CC" w:rsidRPr="00B94E1B" w:rsidRDefault="00B94E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Строящуюся в рамках Нацпроекта школу на 600 мест </w:t>
      </w:r>
      <w:r w:rsidRPr="00B94E1B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(город Риддер, ул. Кирова, земельный участок №1) 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определить в качестве школы с государственным языком обучения.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A419CC" w:rsidRPr="00B94E1B" w:rsidRDefault="00B94E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Принять меры по оптимизации школ города Риддер с профицитом ученических мест и обеспечению заполняемости новых школ учащимися, в объеме не ниже их проектной мощности.</w:t>
      </w:r>
    </w:p>
    <w:p w:rsidR="00A419CC" w:rsidRPr="00B94E1B" w:rsidRDefault="00B94E1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Принять меры по развитию системы дополнительного образования в городе Риддер. 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Информацию о принятых решениях и предпринимаемых мерах просим направить в Министерство 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не позднее 10 июля 2023 года</w:t>
      </w: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94E1B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Приложение: 2 л. (итоги мониторинга)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Вице-министр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B94E1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>Е. Оспан</w:t>
      </w:r>
    </w:p>
    <w:p w:rsidR="00A419CC" w:rsidRPr="00B94E1B" w:rsidRDefault="00A419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Pr="00B94E1B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Умербекова</w:t>
      </w:r>
      <w:proofErr w:type="spellEnd"/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>. 74-15-74</w:t>
      </w:r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A419CC" w:rsidRDefault="00B94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sectPr w:rsidR="00A419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850" w:bottom="822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C1" w:rsidRDefault="00F067C1">
      <w:pPr>
        <w:spacing w:after="0" w:line="240" w:lineRule="auto"/>
      </w:pPr>
      <w:r>
        <w:separator/>
      </w:r>
    </w:p>
  </w:endnote>
  <w:endnote w:type="continuationSeparator" w:id="0">
    <w:p w:rsidR="00F067C1" w:rsidRDefault="00F0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5" w:rsidRDefault="00F06C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A419CC" w:rsidRPr="005F39DD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19CC" w:rsidRDefault="00B94E1B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19CC" w:rsidRPr="00B94E1B" w:rsidRDefault="00B94E1B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  <w:rPr>
              <w:lang w:val="ru-RU"/>
            </w:rPr>
          </w:pPr>
          <w:r w:rsidRPr="00B94E1B">
            <w:rPr>
              <w:color w:val="000000"/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B94E1B">
            <w:rPr>
              <w:color w:val="000000"/>
              <w:lang w:val="ru-RU"/>
            </w:rPr>
            <w:t>, САБЫРҰЛЫ, ОСПАН ЕДІЛ</w:t>
          </w:r>
        </w:p>
      </w:tc>
    </w:tr>
  </w:tbl>
  <w:p w:rsidR="00A419CC" w:rsidRPr="00B94E1B" w:rsidRDefault="00B94E1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lang w:val="ru-RU"/>
      </w:rPr>
    </w:pPr>
    <w:r>
      <w:rPr>
        <w:color w:val="000000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5" w:rsidRDefault="00F06C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C1" w:rsidRDefault="00F067C1">
      <w:pPr>
        <w:spacing w:after="0" w:line="240" w:lineRule="auto"/>
      </w:pPr>
      <w:r>
        <w:separator/>
      </w:r>
    </w:p>
  </w:footnote>
  <w:footnote w:type="continuationSeparator" w:id="0">
    <w:p w:rsidR="00F067C1" w:rsidRDefault="00F0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5" w:rsidRDefault="00F06C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1B" w:rsidRDefault="00F06C55">
    <w:pPr>
      <w:pStyle w:val="SalemParagraph"/>
    </w:pP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45.5pt;height:21pt;z-index:251658240">
          <v:fill r:id="rId1" o:title=""/>
          <v:stroke r:id="rId1" o:title=""/>
          <v:shadow color="#868686"/>
          <v:textpath style="font-family:&quot;Times New Roman&quot;;font-size:8pt;v-text-kern:t" trim="t" fitpath="t" string="№ исх: 2761-1-5106/08   от: 27.07.2023&#10;№ вх: 3090/ДС-236   от: 27.07.2023"/>
        </v:shape>
      </w:pict>
    </w:r>
  </w:p>
  <w:p w:rsidR="00B94E1B" w:rsidRDefault="00B94E1B">
    <w:pPr>
      <w:pStyle w:val="SalemParagraph"/>
    </w:pPr>
  </w:p>
  <w:p w:rsidR="00A419CC" w:rsidRDefault="00F06C55">
    <w:pPr>
      <w:pStyle w:val="SalemParagraph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660273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6C55" w:rsidRPr="00F06C55" w:rsidRDefault="00F06C5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 w:rsidRPr="005F39DD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 xml:space="preserve">02.08.2023 ЕСЭДО ГО (версия 7.23.0)  Копия электронного документа.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8.6pt;margin-top:5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0I2BON8AAAAO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F06C55" w:rsidRPr="00F06C55" w:rsidRDefault="00F06C5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 w:rsidRPr="005F39DD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 xml:space="preserve">02.08.2023 ЕСЭДО ГО (версия 7.23.0)  Копия электронного документа.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B94E1B">
      <w:t>Исходящий</w:t>
    </w:r>
    <w:proofErr w:type="spellEnd"/>
    <w:r w:rsidR="00B94E1B">
      <w:t xml:space="preserve"> </w:t>
    </w:r>
    <w:proofErr w:type="spellStart"/>
    <w:r w:rsidR="00B94E1B">
      <w:t>номер</w:t>
    </w:r>
    <w:proofErr w:type="spellEnd"/>
    <w:r w:rsidR="00B94E1B">
      <w:t xml:space="preserve">: 5-15/3886-И </w:t>
    </w:r>
    <w:proofErr w:type="spellStart"/>
    <w:r w:rsidR="00B94E1B">
      <w:t>от</w:t>
    </w:r>
    <w:proofErr w:type="spellEnd"/>
    <w:r w:rsidR="00B94E1B">
      <w:t xml:space="preserve"> 27.06.2023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55" w:rsidRDefault="00F06C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434"/>
    <w:multiLevelType w:val="hybridMultilevel"/>
    <w:tmpl w:val="95883186"/>
    <w:lvl w:ilvl="0" w:tplc="3864B77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390EF2E">
      <w:start w:val="1"/>
      <w:numFmt w:val="lowerLetter"/>
      <w:lvlText w:val="%2."/>
      <w:lvlJc w:val="left"/>
      <w:pPr>
        <w:ind w:left="1440" w:hanging="360"/>
      </w:pPr>
    </w:lvl>
    <w:lvl w:ilvl="2" w:tplc="6A883E36">
      <w:start w:val="1"/>
      <w:numFmt w:val="lowerRoman"/>
      <w:lvlText w:val="%3."/>
      <w:lvlJc w:val="right"/>
      <w:pPr>
        <w:ind w:left="2160" w:hanging="180"/>
      </w:pPr>
    </w:lvl>
    <w:lvl w:ilvl="3" w:tplc="272C0CFE">
      <w:start w:val="1"/>
      <w:numFmt w:val="decimal"/>
      <w:lvlText w:val="%4."/>
      <w:lvlJc w:val="left"/>
      <w:pPr>
        <w:ind w:left="2880" w:hanging="360"/>
      </w:pPr>
    </w:lvl>
    <w:lvl w:ilvl="4" w:tplc="EBDE2FF0">
      <w:start w:val="1"/>
      <w:numFmt w:val="lowerLetter"/>
      <w:lvlText w:val="%5."/>
      <w:lvlJc w:val="left"/>
      <w:pPr>
        <w:ind w:left="3600" w:hanging="360"/>
      </w:pPr>
    </w:lvl>
    <w:lvl w:ilvl="5" w:tplc="8258D586">
      <w:start w:val="1"/>
      <w:numFmt w:val="lowerRoman"/>
      <w:lvlText w:val="%6."/>
      <w:lvlJc w:val="right"/>
      <w:pPr>
        <w:ind w:left="4320" w:hanging="180"/>
      </w:pPr>
    </w:lvl>
    <w:lvl w:ilvl="6" w:tplc="14E04DBC">
      <w:start w:val="1"/>
      <w:numFmt w:val="decimal"/>
      <w:lvlText w:val="%7."/>
      <w:lvlJc w:val="left"/>
      <w:pPr>
        <w:ind w:left="5040" w:hanging="360"/>
      </w:pPr>
    </w:lvl>
    <w:lvl w:ilvl="7" w:tplc="AAB0B13E">
      <w:start w:val="1"/>
      <w:numFmt w:val="lowerLetter"/>
      <w:lvlText w:val="%8."/>
      <w:lvlJc w:val="left"/>
      <w:pPr>
        <w:ind w:left="5760" w:hanging="360"/>
      </w:pPr>
    </w:lvl>
    <w:lvl w:ilvl="8" w:tplc="48BA71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1495"/>
    <w:multiLevelType w:val="hybridMultilevel"/>
    <w:tmpl w:val="BF105246"/>
    <w:lvl w:ilvl="0" w:tplc="CD107AD8">
      <w:start w:val="1"/>
      <w:numFmt w:val="decimal"/>
      <w:lvlText w:val="%1."/>
      <w:lvlJc w:val="left"/>
      <w:pPr>
        <w:ind w:left="720" w:hanging="360"/>
      </w:pPr>
    </w:lvl>
    <w:lvl w:ilvl="1" w:tplc="1B504E26">
      <w:start w:val="1"/>
      <w:numFmt w:val="lowerLetter"/>
      <w:lvlText w:val="%2."/>
      <w:lvlJc w:val="left"/>
      <w:pPr>
        <w:ind w:left="1440" w:hanging="360"/>
      </w:pPr>
    </w:lvl>
    <w:lvl w:ilvl="2" w:tplc="6120981A">
      <w:start w:val="1"/>
      <w:numFmt w:val="lowerRoman"/>
      <w:lvlText w:val="%3."/>
      <w:lvlJc w:val="right"/>
      <w:pPr>
        <w:ind w:left="2160" w:hanging="180"/>
      </w:pPr>
    </w:lvl>
    <w:lvl w:ilvl="3" w:tplc="B874C334">
      <w:start w:val="1"/>
      <w:numFmt w:val="decimal"/>
      <w:lvlText w:val="%4."/>
      <w:lvlJc w:val="left"/>
      <w:pPr>
        <w:ind w:left="2880" w:hanging="360"/>
      </w:pPr>
    </w:lvl>
    <w:lvl w:ilvl="4" w:tplc="27DC73A2">
      <w:start w:val="1"/>
      <w:numFmt w:val="lowerLetter"/>
      <w:lvlText w:val="%5."/>
      <w:lvlJc w:val="left"/>
      <w:pPr>
        <w:ind w:left="3600" w:hanging="360"/>
      </w:pPr>
    </w:lvl>
    <w:lvl w:ilvl="5" w:tplc="9D404894">
      <w:start w:val="1"/>
      <w:numFmt w:val="lowerRoman"/>
      <w:lvlText w:val="%6."/>
      <w:lvlJc w:val="right"/>
      <w:pPr>
        <w:ind w:left="4320" w:hanging="180"/>
      </w:pPr>
    </w:lvl>
    <w:lvl w:ilvl="6" w:tplc="BF0483D8">
      <w:start w:val="1"/>
      <w:numFmt w:val="decimal"/>
      <w:lvlText w:val="%7."/>
      <w:lvlJc w:val="left"/>
      <w:pPr>
        <w:ind w:left="5040" w:hanging="360"/>
      </w:pPr>
    </w:lvl>
    <w:lvl w:ilvl="7" w:tplc="871475EA">
      <w:start w:val="1"/>
      <w:numFmt w:val="lowerLetter"/>
      <w:lvlText w:val="%8."/>
      <w:lvlJc w:val="left"/>
      <w:pPr>
        <w:ind w:left="5760" w:hanging="360"/>
      </w:pPr>
    </w:lvl>
    <w:lvl w:ilvl="8" w:tplc="1A9655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CC"/>
    <w:rsid w:val="005F39DD"/>
    <w:rsid w:val="00A419CC"/>
    <w:rsid w:val="00B94E1B"/>
    <w:rsid w:val="00F067C1"/>
    <w:rsid w:val="00F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7DB942-09C7-4625-A0CD-9EC2590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Махсутов Жайык Жумабаевич</dc:creator>
  <dc:description/>
  <cp:lastModifiedBy>Серикова Зарема</cp:lastModifiedBy>
  <cp:revision>2</cp:revision>
  <dcterms:created xsi:type="dcterms:W3CDTF">2023-08-02T07:27:00Z</dcterms:created>
  <dcterms:modified xsi:type="dcterms:W3CDTF">2023-08-02T07:27:00Z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